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1B" w:rsidRDefault="0092631B" w:rsidP="0092631B"/>
    <w:tbl>
      <w:tblPr>
        <w:tblW w:w="0" w:type="auto"/>
        <w:tblInd w:w="-75" w:type="dxa"/>
        <w:tblLayout w:type="fixed"/>
        <w:tblLook w:val="0000" w:firstRow="0" w:lastRow="0" w:firstColumn="0" w:lastColumn="0" w:noHBand="0" w:noVBand="0"/>
      </w:tblPr>
      <w:tblGrid>
        <w:gridCol w:w="1232"/>
        <w:gridCol w:w="726"/>
        <w:gridCol w:w="7478"/>
      </w:tblGrid>
      <w:tr w:rsidR="0092631B" w:rsidTr="00401DB2">
        <w:tc>
          <w:tcPr>
            <w:tcW w:w="1232" w:type="dxa"/>
            <w:tcBorders>
              <w:top w:val="single" w:sz="4" w:space="0" w:color="000000"/>
              <w:left w:val="single" w:sz="4" w:space="0" w:color="000000"/>
              <w:bottom w:val="single" w:sz="4" w:space="0" w:color="000000"/>
            </w:tcBorders>
            <w:shd w:val="clear" w:color="auto" w:fill="CCFFFF"/>
          </w:tcPr>
          <w:p w:rsidR="0092631B" w:rsidRDefault="0092631B" w:rsidP="00401DB2">
            <w:pPr>
              <w:tabs>
                <w:tab w:val="left" w:pos="6756"/>
              </w:tabs>
              <w:spacing w:after="120" w:line="240" w:lineRule="auto"/>
              <w:jc w:val="center"/>
              <w:rPr>
                <w:rFonts w:ascii="Arial" w:hAnsi="Arial" w:cs="Arial"/>
                <w:b/>
                <w:caps/>
                <w:sz w:val="24"/>
                <w:szCs w:val="24"/>
              </w:rPr>
            </w:pPr>
            <w:r>
              <w:rPr>
                <w:rFonts w:ascii="Arial" w:hAnsi="Arial" w:cs="Arial"/>
                <w:b/>
                <w:caps/>
                <w:sz w:val="24"/>
                <w:szCs w:val="24"/>
              </w:rPr>
              <w:t xml:space="preserve">LEADER </w:t>
            </w:r>
          </w:p>
          <w:p w:rsidR="0092631B" w:rsidRDefault="0092631B"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2014-2020</w:t>
            </w:r>
          </w:p>
        </w:tc>
        <w:tc>
          <w:tcPr>
            <w:tcW w:w="8204" w:type="dxa"/>
            <w:gridSpan w:val="2"/>
            <w:tcBorders>
              <w:top w:val="single" w:sz="4" w:space="0" w:color="000000"/>
              <w:left w:val="single" w:sz="4" w:space="0" w:color="000000"/>
              <w:bottom w:val="single" w:sz="4" w:space="0" w:color="000000"/>
              <w:right w:val="single" w:sz="4" w:space="0" w:color="000000"/>
            </w:tcBorders>
            <w:shd w:val="clear" w:color="auto" w:fill="CCFFFF"/>
          </w:tcPr>
          <w:p w:rsidR="0092631B" w:rsidRDefault="0092631B" w:rsidP="00401DB2">
            <w:pPr>
              <w:tabs>
                <w:tab w:val="left" w:pos="6756"/>
              </w:tabs>
              <w:spacing w:after="120" w:line="240" w:lineRule="auto"/>
              <w:jc w:val="both"/>
            </w:pPr>
            <w:r>
              <w:rPr>
                <w:rFonts w:ascii="Arial" w:hAnsi="Arial" w:cs="Arial"/>
                <w:b/>
                <w:sz w:val="24"/>
                <w:szCs w:val="24"/>
              </w:rPr>
              <w:t>Nom du GAL : pays de Guéret</w:t>
            </w:r>
          </w:p>
        </w:tc>
      </w:tr>
      <w:tr w:rsidR="0092631B" w:rsidTr="00401DB2">
        <w:tc>
          <w:tcPr>
            <w:tcW w:w="1232" w:type="dxa"/>
            <w:tcBorders>
              <w:top w:val="single" w:sz="4" w:space="0" w:color="000000"/>
              <w:left w:val="single" w:sz="4" w:space="0" w:color="000000"/>
              <w:bottom w:val="single" w:sz="4" w:space="0" w:color="000000"/>
            </w:tcBorders>
            <w:shd w:val="clear" w:color="auto" w:fill="CCFFFF"/>
          </w:tcPr>
          <w:p w:rsidR="0092631B" w:rsidRDefault="0092631B" w:rsidP="00401DB2">
            <w:pPr>
              <w:tabs>
                <w:tab w:val="left" w:pos="6756"/>
              </w:tabs>
              <w:spacing w:after="120" w:line="240" w:lineRule="auto"/>
              <w:jc w:val="center"/>
              <w:rPr>
                <w:rFonts w:ascii="Arial" w:hAnsi="Arial" w:cs="Arial"/>
                <w:b/>
                <w:sz w:val="24"/>
                <w:szCs w:val="24"/>
              </w:rPr>
            </w:pPr>
            <w:r>
              <w:rPr>
                <w:rFonts w:ascii="Arial" w:hAnsi="Arial" w:cs="Arial"/>
                <w:b/>
                <w:caps/>
                <w:sz w:val="24"/>
                <w:szCs w:val="24"/>
              </w:rPr>
              <w:t>action</w:t>
            </w:r>
          </w:p>
        </w:tc>
        <w:tc>
          <w:tcPr>
            <w:tcW w:w="726" w:type="dxa"/>
            <w:tcBorders>
              <w:top w:val="single" w:sz="4" w:space="0" w:color="000000"/>
              <w:left w:val="single" w:sz="4" w:space="0" w:color="000000"/>
              <w:bottom w:val="single" w:sz="4" w:space="0" w:color="000000"/>
            </w:tcBorders>
            <w:shd w:val="clear" w:color="auto" w:fill="CCFFFF"/>
          </w:tcPr>
          <w:p w:rsidR="0092631B" w:rsidRDefault="0092631B" w:rsidP="00401DB2">
            <w:pPr>
              <w:tabs>
                <w:tab w:val="left" w:pos="6756"/>
              </w:tabs>
              <w:spacing w:after="120" w:line="240" w:lineRule="auto"/>
              <w:jc w:val="both"/>
              <w:rPr>
                <w:rFonts w:ascii="Arial" w:hAnsi="Arial" w:cs="Arial"/>
                <w:b/>
                <w:sz w:val="24"/>
                <w:szCs w:val="24"/>
              </w:rPr>
            </w:pPr>
            <w:r>
              <w:rPr>
                <w:rFonts w:ascii="Arial" w:hAnsi="Arial" w:cs="Arial"/>
                <w:b/>
                <w:sz w:val="24"/>
                <w:szCs w:val="24"/>
              </w:rPr>
              <w:t>N° 7</w:t>
            </w:r>
          </w:p>
        </w:tc>
        <w:tc>
          <w:tcPr>
            <w:tcW w:w="7478" w:type="dxa"/>
            <w:tcBorders>
              <w:top w:val="single" w:sz="4" w:space="0" w:color="000000"/>
              <w:left w:val="single" w:sz="4" w:space="0" w:color="000000"/>
              <w:bottom w:val="single" w:sz="4" w:space="0" w:color="000000"/>
              <w:right w:val="single" w:sz="4" w:space="0" w:color="000000"/>
            </w:tcBorders>
            <w:shd w:val="clear" w:color="auto" w:fill="CCFFFF"/>
          </w:tcPr>
          <w:p w:rsidR="0092631B" w:rsidRDefault="0092631B" w:rsidP="00401DB2">
            <w:pPr>
              <w:tabs>
                <w:tab w:val="left" w:pos="6756"/>
              </w:tabs>
              <w:spacing w:after="120" w:line="240" w:lineRule="auto"/>
              <w:jc w:val="both"/>
            </w:pPr>
            <w:r>
              <w:rPr>
                <w:rFonts w:ascii="Arial" w:hAnsi="Arial" w:cs="Arial"/>
                <w:b/>
                <w:sz w:val="24"/>
                <w:szCs w:val="24"/>
              </w:rPr>
              <w:t xml:space="preserve">Intitulé : </w:t>
            </w:r>
            <w:r>
              <w:rPr>
                <w:rFonts w:ascii="Arial" w:hAnsi="Arial" w:cs="Arial"/>
                <w:b/>
                <w:caps/>
                <w:sz w:val="24"/>
                <w:szCs w:val="24"/>
              </w:rPr>
              <w:t>Coopération inter-territoriale et transnationale</w:t>
            </w:r>
          </w:p>
        </w:tc>
      </w:tr>
      <w:tr w:rsidR="0092631B" w:rsidTr="00401DB2">
        <w:tc>
          <w:tcPr>
            <w:tcW w:w="1232" w:type="dxa"/>
            <w:tcBorders>
              <w:top w:val="single" w:sz="4" w:space="0" w:color="000000"/>
              <w:left w:val="single" w:sz="4" w:space="0" w:color="000000"/>
              <w:bottom w:val="single" w:sz="4" w:space="0" w:color="000000"/>
            </w:tcBorders>
            <w:shd w:val="clear" w:color="auto" w:fill="CCFFFF"/>
          </w:tcPr>
          <w:p w:rsidR="0092631B" w:rsidRDefault="0092631B" w:rsidP="00401DB2">
            <w:pPr>
              <w:tabs>
                <w:tab w:val="left" w:pos="6756"/>
              </w:tabs>
              <w:snapToGrid w:val="0"/>
              <w:spacing w:after="120" w:line="240" w:lineRule="auto"/>
              <w:jc w:val="center"/>
              <w:rPr>
                <w:rFonts w:ascii="Arial" w:hAnsi="Arial" w:cs="Arial"/>
                <w:b/>
                <w:caps/>
                <w:sz w:val="20"/>
                <w:szCs w:val="20"/>
              </w:rPr>
            </w:pPr>
          </w:p>
          <w:p w:rsidR="0092631B" w:rsidRDefault="0092631B" w:rsidP="00401DB2">
            <w:pPr>
              <w:tabs>
                <w:tab w:val="left" w:pos="6756"/>
              </w:tabs>
              <w:spacing w:after="120" w:line="240" w:lineRule="auto"/>
              <w:jc w:val="center"/>
              <w:rPr>
                <w:rFonts w:ascii="Arial" w:hAnsi="Arial" w:cs="Arial"/>
                <w:sz w:val="20"/>
                <w:szCs w:val="20"/>
              </w:rPr>
            </w:pPr>
            <w:r>
              <w:rPr>
                <w:rFonts w:ascii="Arial" w:hAnsi="Arial" w:cs="Arial"/>
                <w:b/>
                <w:caps/>
                <w:sz w:val="20"/>
                <w:szCs w:val="20"/>
              </w:rPr>
              <w:t>Sous-mesure</w:t>
            </w:r>
          </w:p>
        </w:tc>
        <w:tc>
          <w:tcPr>
            <w:tcW w:w="8204" w:type="dxa"/>
            <w:gridSpan w:val="2"/>
            <w:tcBorders>
              <w:top w:val="single" w:sz="4" w:space="0" w:color="000000"/>
              <w:left w:val="single" w:sz="4" w:space="0" w:color="000000"/>
              <w:bottom w:val="single" w:sz="4" w:space="0" w:color="000000"/>
              <w:right w:val="single" w:sz="4" w:space="0" w:color="000000"/>
            </w:tcBorders>
            <w:shd w:val="clear" w:color="auto" w:fill="CCFFFF"/>
          </w:tcPr>
          <w:p w:rsidR="0092631B" w:rsidRDefault="0092631B" w:rsidP="00401DB2">
            <w:pPr>
              <w:tabs>
                <w:tab w:val="left" w:pos="6756"/>
              </w:tabs>
              <w:snapToGrid w:val="0"/>
              <w:spacing w:after="120" w:line="240" w:lineRule="auto"/>
              <w:jc w:val="both"/>
              <w:rPr>
                <w:rFonts w:ascii="Arial" w:hAnsi="Arial" w:cs="Arial"/>
                <w:sz w:val="20"/>
                <w:szCs w:val="20"/>
              </w:rPr>
            </w:pPr>
          </w:p>
          <w:p w:rsidR="0092631B" w:rsidRDefault="0092631B" w:rsidP="00401DB2">
            <w:pPr>
              <w:tabs>
                <w:tab w:val="left" w:pos="6756"/>
              </w:tabs>
              <w:spacing w:after="120" w:line="240" w:lineRule="auto"/>
              <w:ind w:left="644"/>
              <w:jc w:val="both"/>
              <w:rPr>
                <w:rFonts w:ascii="Arial" w:hAnsi="Arial" w:cs="Arial"/>
                <w:sz w:val="20"/>
                <w:szCs w:val="20"/>
              </w:rPr>
            </w:pPr>
            <w:r>
              <w:rPr>
                <w:rFonts w:ascii="Arial" w:hAnsi="Arial" w:cs="Arial"/>
                <w:b/>
                <w:bCs/>
              </w:rPr>
              <w:t xml:space="preserve">19.3 – Préparation et mise en œuvre des activités de coopération du groupe d’action locale </w:t>
            </w:r>
          </w:p>
          <w:p w:rsidR="0092631B" w:rsidRDefault="0092631B" w:rsidP="00401DB2">
            <w:pPr>
              <w:tabs>
                <w:tab w:val="left" w:pos="6756"/>
              </w:tabs>
              <w:spacing w:after="120" w:line="240" w:lineRule="auto"/>
              <w:jc w:val="both"/>
              <w:rPr>
                <w:rFonts w:ascii="Arial" w:hAnsi="Arial" w:cs="Arial"/>
                <w:sz w:val="20"/>
                <w:szCs w:val="20"/>
              </w:rPr>
            </w:pPr>
          </w:p>
        </w:tc>
      </w:tr>
      <w:tr w:rsidR="0092631B" w:rsidTr="00401DB2">
        <w:trPr>
          <w:trHeight w:val="91"/>
        </w:trPr>
        <w:tc>
          <w:tcPr>
            <w:tcW w:w="1232" w:type="dxa"/>
            <w:tcBorders>
              <w:top w:val="single" w:sz="4" w:space="0" w:color="000000"/>
              <w:left w:val="single" w:sz="4" w:space="0" w:color="000000"/>
              <w:bottom w:val="single" w:sz="4" w:space="0" w:color="000000"/>
            </w:tcBorders>
            <w:shd w:val="clear" w:color="auto" w:fill="auto"/>
          </w:tcPr>
          <w:p w:rsidR="0092631B" w:rsidRDefault="0092631B" w:rsidP="00401DB2">
            <w:pPr>
              <w:tabs>
                <w:tab w:val="left" w:pos="6756"/>
              </w:tabs>
              <w:spacing w:after="120" w:line="240" w:lineRule="auto"/>
              <w:rPr>
                <w:rFonts w:ascii="Arial" w:hAnsi="Arial" w:cs="Arial"/>
                <w:sz w:val="20"/>
                <w:szCs w:val="20"/>
              </w:rPr>
            </w:pPr>
            <w:r>
              <w:rPr>
                <w:rFonts w:ascii="Arial" w:hAnsi="Arial" w:cs="Arial"/>
                <w:b/>
                <w:caps/>
                <w:sz w:val="20"/>
                <w:szCs w:val="20"/>
              </w:rPr>
              <w:t>Date d’effet</w:t>
            </w:r>
          </w:p>
        </w:tc>
        <w:tc>
          <w:tcPr>
            <w:tcW w:w="8204" w:type="dxa"/>
            <w:gridSpan w:val="2"/>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after="120" w:line="240" w:lineRule="auto"/>
              <w:jc w:val="both"/>
            </w:pPr>
            <w:r>
              <w:rPr>
                <w:rFonts w:ascii="Arial" w:hAnsi="Arial" w:cs="Arial"/>
                <w:sz w:val="20"/>
                <w:szCs w:val="20"/>
              </w:rPr>
              <w:t xml:space="preserve">Date de signature de la convention :  </w:t>
            </w:r>
          </w:p>
        </w:tc>
      </w:tr>
      <w:tr w:rsidR="0092631B" w:rsidTr="00401DB2">
        <w:tblPrEx>
          <w:tblCellMar>
            <w:top w:w="57" w:type="dxa"/>
            <w:bottom w:w="57" w:type="dxa"/>
          </w:tblCellMar>
        </w:tblPrEx>
        <w:trPr>
          <w:trHeight w:val="543"/>
        </w:trPr>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numPr>
                <w:ilvl w:val="0"/>
                <w:numId w:val="7"/>
              </w:numPr>
              <w:tabs>
                <w:tab w:val="left" w:pos="180"/>
                <w:tab w:val="left" w:pos="6756"/>
              </w:tabs>
              <w:spacing w:before="120" w:after="120" w:line="240" w:lineRule="auto"/>
              <w:jc w:val="both"/>
            </w:pPr>
            <w:r>
              <w:rPr>
                <w:rFonts w:ascii="Arial" w:hAnsi="Arial" w:cs="Arial"/>
                <w:b/>
                <w:caps/>
                <w:sz w:val="20"/>
                <w:szCs w:val="20"/>
              </w:rPr>
              <w:t xml:space="preserve"> Description générale et logique d’intervention</w:t>
            </w:r>
          </w:p>
        </w:tc>
      </w:tr>
      <w:tr w:rsidR="0092631B" w:rsidTr="00401DB2">
        <w:tblPrEx>
          <w:tblCellMar>
            <w:top w:w="57" w:type="dxa"/>
            <w:bottom w:w="57" w:type="dxa"/>
          </w:tblCellMar>
        </w:tblPrEx>
        <w:trPr>
          <w:trHeight w:val="628"/>
        </w:trPr>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Pr="00824963" w:rsidRDefault="0092631B" w:rsidP="00401DB2">
            <w:pPr>
              <w:numPr>
                <w:ilvl w:val="1"/>
                <w:numId w:val="7"/>
              </w:numPr>
              <w:tabs>
                <w:tab w:val="left" w:pos="360"/>
                <w:tab w:val="left" w:pos="6756"/>
              </w:tabs>
              <w:spacing w:before="120" w:after="120" w:line="240" w:lineRule="auto"/>
              <w:ind w:left="1440" w:hanging="1440"/>
            </w:pPr>
            <w:r w:rsidRPr="00824963">
              <w:rPr>
                <w:rStyle w:val="Heading2Char"/>
                <w:rFonts w:ascii="Arial" w:hAnsi="Arial" w:cs="Arial"/>
                <w:sz w:val="20"/>
                <w:szCs w:val="20"/>
              </w:rPr>
              <w:t>Thématiques prioritaires régionales</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numPr>
                <w:ilvl w:val="0"/>
                <w:numId w:val="8"/>
              </w:numPr>
              <w:spacing w:after="120" w:line="240" w:lineRule="auto"/>
              <w:jc w:val="both"/>
              <w:rPr>
                <w:rFonts w:ascii="Arial" w:hAnsi="Arial" w:cs="Arial"/>
                <w:sz w:val="20"/>
                <w:szCs w:val="20"/>
              </w:rPr>
            </w:pPr>
            <w:r>
              <w:rPr>
                <w:rFonts w:ascii="Arial" w:hAnsi="Arial" w:cs="Arial"/>
                <w:sz w:val="20"/>
                <w:szCs w:val="20"/>
              </w:rPr>
              <w:t xml:space="preserve">La montée en débit : accompagnement au développement des infrastructures numériques de proximité, ainsi qu’au développement des usages </w:t>
            </w:r>
          </w:p>
          <w:p w:rsidR="0092631B" w:rsidRDefault="0092631B" w:rsidP="00401DB2">
            <w:pPr>
              <w:numPr>
                <w:ilvl w:val="0"/>
                <w:numId w:val="8"/>
              </w:numPr>
              <w:spacing w:after="120" w:line="240" w:lineRule="auto"/>
              <w:jc w:val="both"/>
              <w:rPr>
                <w:rFonts w:ascii="Arial" w:hAnsi="Arial" w:cs="Arial"/>
                <w:sz w:val="20"/>
                <w:szCs w:val="20"/>
              </w:rPr>
            </w:pPr>
            <w:r>
              <w:rPr>
                <w:rFonts w:ascii="Arial" w:hAnsi="Arial" w:cs="Arial"/>
                <w:sz w:val="20"/>
                <w:szCs w:val="20"/>
              </w:rPr>
              <w:t xml:space="preserve">Le développement de la culture, des sports, des patrimoines et du tourisme (activités et équipements; </w:t>
            </w:r>
          </w:p>
          <w:p w:rsidR="0092631B" w:rsidRDefault="0092631B" w:rsidP="00401DB2">
            <w:pPr>
              <w:numPr>
                <w:ilvl w:val="0"/>
                <w:numId w:val="8"/>
              </w:numPr>
              <w:spacing w:after="120" w:line="240" w:lineRule="auto"/>
              <w:jc w:val="both"/>
            </w:pPr>
            <w:r>
              <w:rPr>
                <w:rFonts w:ascii="Arial" w:hAnsi="Arial" w:cs="Arial"/>
                <w:sz w:val="20"/>
                <w:szCs w:val="20"/>
              </w:rPr>
              <w:t>L’approche innovation territoriale sur les thématiques privilégiées des politiques territoriales : filière du bien vieillir, économie sociale et solidaire, économie verte, adaptation au changement climatique, stratégies alimentaires territoriales, maintien et accueil de populations et d’activités, démarche territoriale emploi et formation, politique des temps, égalité femme homme.</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sz w:val="20"/>
                <w:szCs w:val="20"/>
              </w:rPr>
              <w:t>b) Objectifs stratégiques et opérationnels</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after="120" w:line="240" w:lineRule="auto"/>
              <w:jc w:val="both"/>
              <w:rPr>
                <w:rFonts w:ascii="Arial" w:hAnsi="Arial" w:cs="Arial"/>
                <w:sz w:val="20"/>
                <w:szCs w:val="20"/>
              </w:rPr>
            </w:pPr>
            <w:r>
              <w:rPr>
                <w:rFonts w:ascii="Arial" w:hAnsi="Arial" w:cs="Arial"/>
                <w:sz w:val="20"/>
                <w:szCs w:val="20"/>
              </w:rPr>
              <w:t xml:space="preserve">Enjeu : Enrichir et conforter le projet de territoire d'une dimension inter-territoriale ou transnationale susceptible de conforter et de pérenniser les actions menées. </w:t>
            </w:r>
          </w:p>
          <w:p w:rsidR="0092631B" w:rsidRDefault="0092631B" w:rsidP="00401DB2">
            <w:pPr>
              <w:tabs>
                <w:tab w:val="left" w:pos="6756"/>
              </w:tabs>
              <w:spacing w:after="120" w:line="240" w:lineRule="auto"/>
              <w:jc w:val="both"/>
              <w:rPr>
                <w:rFonts w:ascii="Arial" w:hAnsi="Arial" w:cs="Arial"/>
                <w:sz w:val="20"/>
                <w:szCs w:val="20"/>
              </w:rPr>
            </w:pPr>
          </w:p>
          <w:p w:rsidR="0092631B" w:rsidRDefault="0092631B" w:rsidP="00401DB2">
            <w:pPr>
              <w:tabs>
                <w:tab w:val="left" w:pos="6756"/>
              </w:tabs>
              <w:spacing w:after="120" w:line="240" w:lineRule="auto"/>
              <w:jc w:val="both"/>
              <w:rPr>
                <w:rFonts w:ascii="Arial" w:hAnsi="Arial" w:cs="Arial"/>
                <w:sz w:val="20"/>
                <w:szCs w:val="20"/>
              </w:rPr>
            </w:pPr>
            <w:r w:rsidRPr="00D7640F">
              <w:rPr>
                <w:rFonts w:ascii="Arial" w:hAnsi="Arial" w:cs="Arial"/>
                <w:b/>
                <w:sz w:val="20"/>
                <w:szCs w:val="20"/>
                <w:u w:val="single"/>
              </w:rPr>
              <w:t>Objectifs stratégiques</w:t>
            </w:r>
            <w:r>
              <w:rPr>
                <w:rFonts w:ascii="Arial" w:hAnsi="Arial" w:cs="Arial"/>
                <w:sz w:val="20"/>
                <w:szCs w:val="20"/>
              </w:rPr>
              <w:t>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Échanger sur des expériences, tirer parti des expériences d’autres territoires, diffuser des bonnes pratiques et des savoir-faire.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Identifier de nouvelles réponses aux enjeux du territoire et innover.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Renforcer l’identité du territoire  en suscitant de nouveaux partenariats locaux et en mobilisant les acteurs sur un positionnement du territoire vis-à-vis de l’extérieur.</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Développer l’ouverture et la conscience européenne du territoire.</w:t>
            </w:r>
          </w:p>
          <w:p w:rsidR="0092631B" w:rsidRDefault="0092631B" w:rsidP="00401DB2">
            <w:pPr>
              <w:numPr>
                <w:ilvl w:val="0"/>
                <w:numId w:val="3"/>
              </w:numPr>
              <w:tabs>
                <w:tab w:val="left" w:pos="6756"/>
              </w:tabs>
              <w:spacing w:after="0" w:line="240" w:lineRule="auto"/>
              <w:jc w:val="both"/>
              <w:rPr>
                <w:rFonts w:ascii="Arial" w:hAnsi="Arial" w:cs="Arial"/>
                <w:sz w:val="20"/>
                <w:szCs w:val="20"/>
              </w:rPr>
            </w:pPr>
            <w:r>
              <w:rPr>
                <w:rFonts w:ascii="Arial" w:hAnsi="Arial" w:cs="Arial"/>
                <w:sz w:val="20"/>
                <w:szCs w:val="20"/>
              </w:rPr>
              <w:t xml:space="preserve">Poursuivre le développement de l’expérience et des compétences acquises en matière de gestion de projets de coopération. </w:t>
            </w:r>
          </w:p>
          <w:p w:rsidR="0092631B" w:rsidRDefault="0092631B" w:rsidP="00401DB2">
            <w:pPr>
              <w:tabs>
                <w:tab w:val="left" w:pos="6756"/>
              </w:tabs>
              <w:spacing w:after="120" w:line="240" w:lineRule="auto"/>
              <w:jc w:val="both"/>
              <w:rPr>
                <w:rFonts w:ascii="Arial" w:hAnsi="Arial" w:cs="Arial"/>
                <w:sz w:val="20"/>
                <w:szCs w:val="20"/>
              </w:rPr>
            </w:pPr>
          </w:p>
          <w:p w:rsidR="0092631B" w:rsidRDefault="0092631B" w:rsidP="00401DB2">
            <w:pPr>
              <w:tabs>
                <w:tab w:val="left" w:pos="6756"/>
              </w:tabs>
              <w:spacing w:after="120" w:line="240" w:lineRule="auto"/>
              <w:jc w:val="both"/>
              <w:rPr>
                <w:rFonts w:ascii="Arial" w:hAnsi="Arial" w:cs="Arial"/>
                <w:sz w:val="20"/>
                <w:szCs w:val="20"/>
              </w:rPr>
            </w:pPr>
            <w:r w:rsidRPr="00D7640F">
              <w:rPr>
                <w:rFonts w:ascii="Arial" w:hAnsi="Arial" w:cs="Arial"/>
                <w:b/>
                <w:sz w:val="20"/>
                <w:szCs w:val="20"/>
                <w:u w:val="single"/>
              </w:rPr>
              <w:t>Objectifs opérationnels</w:t>
            </w:r>
            <w:r>
              <w:rPr>
                <w:rFonts w:ascii="Arial" w:hAnsi="Arial" w:cs="Arial"/>
                <w:sz w:val="20"/>
                <w:szCs w:val="20"/>
              </w:rPr>
              <w:t>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Échanges réguliers entre les partenaires (téléphone, mails, visioconférence) et rencontres sur </w:t>
            </w:r>
            <w:r>
              <w:rPr>
                <w:rFonts w:ascii="Arial" w:hAnsi="Arial" w:cs="Arial"/>
                <w:sz w:val="20"/>
                <w:szCs w:val="20"/>
              </w:rPr>
              <w:lastRenderedPageBreak/>
              <w:t xml:space="preserve">les territoires (au moins 2 fois par an) afin de garantir un bon avancement du projet.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Capitaliser sur les connaissances, les bonnes pratiques et les savoir-faire d’un projet donné.</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Mettre en œuvre des actions communes.</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Créer une surface territoriale constituant une masse critique suffisante pour réaliser un projet.</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Mutualiser des moyens humains et financiers pour réduire certains coûts de productions (études, produits communs…).</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Communiquer sur les projets de coopération menés auprès des acteurs du territoire et à l’extérieur du territoire (via le réseau rural régional, français et européen)</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Encourager les membres du comité de programmation à faire émerger de nouveaux projets de coopération et à diffuser la possibilité de coopération grâce au Programme Leader dans leurs réseaux. </w:t>
            </w:r>
          </w:p>
          <w:p w:rsidR="0092631B" w:rsidRDefault="0092631B" w:rsidP="00401DB2">
            <w:pPr>
              <w:numPr>
                <w:ilvl w:val="0"/>
                <w:numId w:val="3"/>
              </w:numPr>
              <w:spacing w:after="0"/>
              <w:jc w:val="both"/>
            </w:pPr>
            <w:r>
              <w:rPr>
                <w:rFonts w:ascii="Arial" w:hAnsi="Arial" w:cs="Arial"/>
                <w:sz w:val="20"/>
                <w:szCs w:val="20"/>
              </w:rPr>
              <w:t xml:space="preserve">Accompagner et assister les maîtres d’ouvrage dans le suivi et l’animation de leur projet. </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jc w:val="both"/>
            </w:pPr>
            <w:r>
              <w:rPr>
                <w:rFonts w:ascii="Arial" w:hAnsi="Arial" w:cs="Arial"/>
                <w:b/>
                <w:sz w:val="20"/>
                <w:szCs w:val="20"/>
              </w:rPr>
              <w:lastRenderedPageBreak/>
              <w:t>c) Effets attendus</w:t>
            </w:r>
          </w:p>
        </w:tc>
      </w:tr>
      <w:tr w:rsidR="0092631B" w:rsidTr="00401DB2">
        <w:tblPrEx>
          <w:tblCellMar>
            <w:top w:w="57" w:type="dxa"/>
            <w:bottom w:w="57" w:type="dxa"/>
          </w:tblCellMar>
        </w:tblPrEx>
        <w:trPr>
          <w:trHeight w:val="622"/>
        </w:trPr>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Mise en œuvre de solutions innovantes,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Valorisation, voire augmentation de l’impact des projets sur le territoire,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Réalisation d’économie d’échelle, </w:t>
            </w:r>
          </w:p>
          <w:p w:rsidR="0092631B" w:rsidRDefault="0092631B" w:rsidP="00401DB2">
            <w:pPr>
              <w:numPr>
                <w:ilvl w:val="0"/>
                <w:numId w:val="3"/>
              </w:numPr>
              <w:spacing w:after="0"/>
              <w:jc w:val="both"/>
              <w:rPr>
                <w:rFonts w:ascii="Arial" w:hAnsi="Arial" w:cs="Arial"/>
                <w:sz w:val="20"/>
                <w:szCs w:val="20"/>
              </w:rPr>
            </w:pPr>
            <w:r>
              <w:rPr>
                <w:rFonts w:ascii="Arial" w:hAnsi="Arial" w:cs="Arial"/>
                <w:sz w:val="20"/>
                <w:szCs w:val="20"/>
              </w:rPr>
              <w:t xml:space="preserve">Appropriation par les acteurs locaux des bénéfices des projets de coopération, </w:t>
            </w:r>
          </w:p>
          <w:p w:rsidR="0092631B" w:rsidRDefault="0092631B" w:rsidP="00401DB2">
            <w:pPr>
              <w:numPr>
                <w:ilvl w:val="0"/>
                <w:numId w:val="3"/>
              </w:numPr>
              <w:spacing w:after="0"/>
              <w:jc w:val="both"/>
            </w:pPr>
            <w:r>
              <w:rPr>
                <w:rFonts w:ascii="Arial" w:hAnsi="Arial" w:cs="Arial"/>
                <w:sz w:val="20"/>
                <w:szCs w:val="20"/>
              </w:rPr>
              <w:t xml:space="preserve">Émergence d’une identité européenne aux côtés des identités locales, régionales et nationales. </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numPr>
                <w:ilvl w:val="0"/>
                <w:numId w:val="7"/>
              </w:numPr>
              <w:tabs>
                <w:tab w:val="left" w:pos="180"/>
                <w:tab w:val="left" w:pos="6756"/>
              </w:tabs>
              <w:spacing w:before="120" w:after="120" w:line="240" w:lineRule="auto"/>
              <w:ind w:left="180" w:hanging="180"/>
              <w:jc w:val="both"/>
            </w:pPr>
            <w:r>
              <w:rPr>
                <w:rFonts w:ascii="Arial" w:hAnsi="Arial" w:cs="Arial"/>
                <w:b/>
                <w:caps/>
                <w:sz w:val="20"/>
                <w:szCs w:val="20"/>
              </w:rPr>
              <w:t xml:space="preserve"> Description du type d’opérations</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after="120" w:line="240" w:lineRule="auto"/>
              <w:jc w:val="both"/>
              <w:rPr>
                <w:rFonts w:ascii="Arial" w:hAnsi="Arial" w:cs="Arial"/>
                <w:sz w:val="20"/>
                <w:szCs w:val="20"/>
              </w:rPr>
            </w:pPr>
            <w:r>
              <w:rPr>
                <w:rFonts w:ascii="Arial" w:hAnsi="Arial" w:cs="Arial"/>
                <w:sz w:val="20"/>
                <w:szCs w:val="20"/>
              </w:rPr>
              <w:t>La sous-mesure 19.3 permet de soutenir les projets de coopération s’inscrivant dans le cadre de la stratégie locale de développement, via des échanges d’expériences et de pratiques dans la perspective de la mise en œuvre d’actions communes (matériel ou immatériel, par exemple séminaire, exposition, échanges de personnels, formation, …) en soutenant les projets de :</w:t>
            </w:r>
          </w:p>
          <w:p w:rsidR="0092631B" w:rsidRDefault="0092631B"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coopération inter-territoriale : entre territoires au sein d’un même État membre ;</w:t>
            </w:r>
          </w:p>
          <w:p w:rsidR="0092631B" w:rsidRDefault="0092631B" w:rsidP="00401DB2">
            <w:pPr>
              <w:numPr>
                <w:ilvl w:val="0"/>
                <w:numId w:val="2"/>
              </w:numPr>
              <w:tabs>
                <w:tab w:val="left" w:pos="6756"/>
              </w:tabs>
              <w:spacing w:after="120" w:line="240" w:lineRule="auto"/>
              <w:jc w:val="both"/>
              <w:rPr>
                <w:rFonts w:ascii="Arial" w:hAnsi="Arial" w:cs="Arial"/>
                <w:sz w:val="20"/>
                <w:szCs w:val="20"/>
              </w:rPr>
            </w:pPr>
            <w:r>
              <w:rPr>
                <w:rFonts w:ascii="Arial" w:hAnsi="Arial" w:cs="Arial"/>
                <w:sz w:val="20"/>
                <w:szCs w:val="20"/>
              </w:rPr>
              <w:t xml:space="preserve">coopération transnationale : entre territoires relevant de plusieurs État membres (y compris avec des territoires de pays tiers). </w:t>
            </w:r>
          </w:p>
          <w:p w:rsidR="0092631B" w:rsidRDefault="0092631B" w:rsidP="00401DB2">
            <w:pPr>
              <w:tabs>
                <w:tab w:val="left" w:pos="6756"/>
              </w:tabs>
              <w:spacing w:after="120" w:line="240" w:lineRule="auto"/>
              <w:jc w:val="both"/>
              <w:rPr>
                <w:rFonts w:ascii="Arial" w:hAnsi="Arial" w:cs="Arial"/>
                <w:sz w:val="20"/>
                <w:szCs w:val="20"/>
              </w:rPr>
            </w:pPr>
            <w:r>
              <w:rPr>
                <w:rFonts w:ascii="Arial" w:hAnsi="Arial" w:cs="Arial"/>
                <w:sz w:val="20"/>
                <w:szCs w:val="20"/>
              </w:rPr>
              <w:t>Les projets accompagnés seront de deux types :</w:t>
            </w:r>
          </w:p>
          <w:p w:rsidR="0092631B" w:rsidRDefault="0092631B" w:rsidP="00401DB2">
            <w:pPr>
              <w:tabs>
                <w:tab w:val="left" w:pos="720"/>
                <w:tab w:val="left" w:pos="6756"/>
              </w:tabs>
              <w:spacing w:after="120" w:line="240" w:lineRule="auto"/>
              <w:ind w:left="720" w:hanging="360"/>
              <w:jc w:val="both"/>
              <w:rPr>
                <w:rFonts w:ascii="Arial" w:hAnsi="Arial" w:cs="Arial"/>
                <w:sz w:val="20"/>
                <w:szCs w:val="20"/>
              </w:rPr>
            </w:pPr>
            <w:r>
              <w:rPr>
                <w:rFonts w:ascii="Arial" w:hAnsi="Arial" w:cs="Arial"/>
                <w:sz w:val="20"/>
                <w:szCs w:val="20"/>
              </w:rPr>
              <w:t>1- Préparation technique en amont des projets de coopération : animation, échange, visite, constitution d’un partenariat ;</w:t>
            </w:r>
          </w:p>
          <w:p w:rsidR="0092631B" w:rsidRDefault="0092631B" w:rsidP="00401DB2">
            <w:pPr>
              <w:tabs>
                <w:tab w:val="left" w:pos="720"/>
                <w:tab w:val="left" w:pos="6756"/>
              </w:tabs>
              <w:spacing w:after="120" w:line="240" w:lineRule="auto"/>
              <w:ind w:left="720" w:hanging="360"/>
              <w:jc w:val="both"/>
              <w:rPr>
                <w:rFonts w:ascii="Arial" w:hAnsi="Arial" w:cs="Arial"/>
                <w:sz w:val="20"/>
                <w:szCs w:val="20"/>
              </w:rPr>
            </w:pPr>
            <w:r>
              <w:rPr>
                <w:rFonts w:ascii="Arial" w:hAnsi="Arial" w:cs="Arial"/>
                <w:sz w:val="20"/>
                <w:szCs w:val="20"/>
              </w:rPr>
              <w:t>2- Réalisation des actions de coopération.</w:t>
            </w:r>
          </w:p>
          <w:p w:rsidR="0092631B" w:rsidRDefault="0092631B" w:rsidP="00401DB2">
            <w:pPr>
              <w:tabs>
                <w:tab w:val="left" w:pos="6756"/>
              </w:tabs>
              <w:spacing w:after="120" w:line="240" w:lineRule="auto"/>
              <w:jc w:val="both"/>
            </w:pPr>
            <w:r>
              <w:rPr>
                <w:rFonts w:ascii="Arial" w:hAnsi="Arial" w:cs="Arial"/>
                <w:sz w:val="20"/>
                <w:szCs w:val="20"/>
              </w:rPr>
              <w:t>La coopération est mise en œuvre sous la responsabilité d’un GAL agissant comme coordinateur. Elle sera facilitée par un accompagnement méthodologique qui s'appuiera sur le réseau rural.</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Pr="00D7640F" w:rsidRDefault="0092631B" w:rsidP="00401DB2">
            <w:pPr>
              <w:tabs>
                <w:tab w:val="left" w:pos="6756"/>
              </w:tabs>
              <w:spacing w:before="120" w:after="120" w:line="240" w:lineRule="auto"/>
            </w:pPr>
            <w:r w:rsidRPr="00D7640F">
              <w:rPr>
                <w:rStyle w:val="Heading1Char"/>
                <w:rFonts w:ascii="Arial" w:hAnsi="Arial" w:cs="Arial"/>
                <w:caps/>
                <w:sz w:val="20"/>
                <w:szCs w:val="20"/>
              </w:rPr>
              <w:t>3. Type de soutieN</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after="120" w:line="240" w:lineRule="auto"/>
            </w:pPr>
            <w:r>
              <w:rPr>
                <w:rFonts w:ascii="Arial" w:hAnsi="Arial" w:cs="Arial"/>
                <w:sz w:val="20"/>
                <w:szCs w:val="20"/>
              </w:rPr>
              <w:t>Subvention.</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Pr="00D7640F" w:rsidRDefault="0092631B" w:rsidP="00401DB2">
            <w:pPr>
              <w:tabs>
                <w:tab w:val="left" w:pos="6756"/>
              </w:tabs>
              <w:spacing w:before="120" w:after="120" w:line="240" w:lineRule="auto"/>
            </w:pPr>
            <w:r w:rsidRPr="00D7640F">
              <w:rPr>
                <w:rStyle w:val="Heading1Char"/>
                <w:rFonts w:ascii="Arial" w:hAnsi="Arial" w:cs="Arial"/>
                <w:caps/>
                <w:sz w:val="20"/>
                <w:szCs w:val="20"/>
              </w:rPr>
              <w:t>4. Liens vers d’autres actes législatifs</w:t>
            </w:r>
            <w:r w:rsidRPr="00D7640F">
              <w:rPr>
                <w:rFonts w:ascii="Arial" w:hAnsi="Arial" w:cs="Arial"/>
                <w:b/>
                <w:caps/>
                <w:sz w:val="20"/>
                <w:szCs w:val="20"/>
              </w:rPr>
              <w:t xml:space="preserve"> </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pStyle w:val="NormalWeb"/>
              <w:tabs>
                <w:tab w:val="left" w:pos="6756"/>
              </w:tabs>
              <w:spacing w:before="0" w:after="120"/>
              <w:jc w:val="both"/>
              <w:rPr>
                <w:rFonts w:ascii="Arial" w:hAnsi="Arial" w:cs="Arial"/>
                <w:sz w:val="20"/>
                <w:szCs w:val="20"/>
              </w:rPr>
            </w:pPr>
            <w:r>
              <w:rPr>
                <w:rFonts w:ascii="Arial" w:hAnsi="Arial" w:cs="Arial"/>
                <w:sz w:val="20"/>
                <w:szCs w:val="20"/>
              </w:rPr>
              <w:t>- Articles 32 à 35 du Règlement (UE) n°1303/2013 du 17 décembre 2013 (principe de Développement Local mené par les Acteurs Locaux (DLAL) qui se base sur l'approche LEADER).</w:t>
            </w:r>
          </w:p>
          <w:p w:rsidR="0092631B" w:rsidRDefault="0092631B" w:rsidP="00401DB2">
            <w:pPr>
              <w:pStyle w:val="NormalWeb"/>
              <w:tabs>
                <w:tab w:val="left" w:pos="6756"/>
              </w:tabs>
              <w:spacing w:before="0" w:after="120"/>
              <w:jc w:val="both"/>
              <w:rPr>
                <w:rFonts w:ascii="Arial" w:hAnsi="Arial" w:cs="Arial"/>
                <w:sz w:val="20"/>
                <w:szCs w:val="20"/>
              </w:rPr>
            </w:pPr>
            <w:r>
              <w:rPr>
                <w:rFonts w:ascii="Arial" w:hAnsi="Arial" w:cs="Arial"/>
                <w:sz w:val="20"/>
                <w:szCs w:val="20"/>
              </w:rPr>
              <w:t>- Articles 42 à 44 du Règlement (UE) n°1305/2013 du 17 décembre 2013 (modalités de mise en œuvre de l’approche LEADER : Groupe d’Action Locale (GAL), aide préparatoire, activités de coopération, frais de fonctionnement et d’animation).</w:t>
            </w:r>
          </w:p>
          <w:p w:rsidR="0092631B" w:rsidRDefault="0092631B" w:rsidP="00401DB2">
            <w:pPr>
              <w:pStyle w:val="NormalWeb"/>
              <w:tabs>
                <w:tab w:val="left" w:pos="6756"/>
              </w:tabs>
              <w:spacing w:before="0" w:after="120"/>
              <w:jc w:val="both"/>
              <w:rPr>
                <w:rFonts w:ascii="Arial" w:hAnsi="Arial" w:cs="Arial"/>
                <w:sz w:val="20"/>
                <w:szCs w:val="20"/>
              </w:rPr>
            </w:pPr>
            <w:r>
              <w:rPr>
                <w:rFonts w:ascii="Arial" w:hAnsi="Arial" w:cs="Arial"/>
                <w:sz w:val="20"/>
                <w:szCs w:val="20"/>
              </w:rPr>
              <w:lastRenderedPageBreak/>
              <w:t xml:space="preserve">- Article 45 du Règlement (UE) n°1305/2013 du 17 décembre 2013 relatifs aux opérations d’investissements. </w:t>
            </w:r>
          </w:p>
          <w:p w:rsidR="0092631B" w:rsidRDefault="0092631B" w:rsidP="00401DB2">
            <w:pPr>
              <w:pStyle w:val="NormalWeb"/>
              <w:tabs>
                <w:tab w:val="left" w:pos="6756"/>
              </w:tabs>
              <w:spacing w:before="0" w:after="120"/>
              <w:jc w:val="both"/>
              <w:rPr>
                <w:rFonts w:ascii="Arial" w:hAnsi="Arial" w:cs="Arial"/>
                <w:sz w:val="20"/>
                <w:szCs w:val="20"/>
              </w:rPr>
            </w:pPr>
            <w:r>
              <w:rPr>
                <w:rFonts w:ascii="Arial" w:hAnsi="Arial" w:cs="Arial"/>
                <w:sz w:val="20"/>
                <w:szCs w:val="20"/>
              </w:rPr>
              <w:t>Article 59 du Règlement (UE) n°1305/2013 du 17 décembre 2013</w:t>
            </w:r>
          </w:p>
          <w:p w:rsidR="0092631B" w:rsidRDefault="0092631B" w:rsidP="00401DB2">
            <w:pPr>
              <w:pStyle w:val="NormalWeb"/>
              <w:tabs>
                <w:tab w:val="left" w:pos="6756"/>
              </w:tabs>
              <w:spacing w:after="120"/>
              <w:jc w:val="both"/>
              <w:rPr>
                <w:rFonts w:ascii="Arial" w:hAnsi="Arial" w:cs="Arial"/>
                <w:sz w:val="20"/>
                <w:szCs w:val="20"/>
              </w:rPr>
            </w:pPr>
            <w:r>
              <w:rPr>
                <w:rFonts w:ascii="Arial" w:hAnsi="Arial" w:cs="Arial"/>
                <w:sz w:val="20"/>
                <w:szCs w:val="20"/>
              </w:rPr>
              <w:t>Article 61 du Règlement (UE) n°1305/2013 du 17 décembre 2013 relatif aux dépenses admissibles</w:t>
            </w:r>
          </w:p>
          <w:p w:rsidR="0092631B" w:rsidRDefault="0092631B" w:rsidP="00401DB2">
            <w:pPr>
              <w:pStyle w:val="NormalWeb"/>
              <w:tabs>
                <w:tab w:val="left" w:pos="6756"/>
              </w:tabs>
              <w:spacing w:before="0" w:after="120"/>
              <w:jc w:val="both"/>
              <w:rPr>
                <w:rFonts w:ascii="Arial" w:hAnsi="Arial" w:cs="Arial"/>
                <w:sz w:val="20"/>
                <w:szCs w:val="20"/>
              </w:rPr>
            </w:pPr>
            <w:r>
              <w:rPr>
                <w:rFonts w:ascii="Arial" w:hAnsi="Arial" w:cs="Arial"/>
                <w:sz w:val="20"/>
                <w:szCs w:val="20"/>
              </w:rPr>
              <w:t>- Article 82 du Règlement (UE) n°1305/2013 du 17 décembre 2013</w:t>
            </w:r>
          </w:p>
          <w:p w:rsidR="0092631B" w:rsidRDefault="0092631B" w:rsidP="00401DB2">
            <w:pPr>
              <w:pStyle w:val="NormalWeb"/>
              <w:tabs>
                <w:tab w:val="left" w:pos="6756"/>
              </w:tabs>
              <w:spacing w:before="0" w:after="120"/>
              <w:jc w:val="both"/>
              <w:rPr>
                <w:rFonts w:ascii="Arial" w:hAnsi="Arial" w:cs="Arial"/>
                <w:sz w:val="20"/>
                <w:szCs w:val="20"/>
              </w:rPr>
            </w:pPr>
            <w:r>
              <w:rPr>
                <w:rFonts w:ascii="Arial" w:hAnsi="Arial" w:cs="Arial"/>
                <w:sz w:val="20"/>
                <w:szCs w:val="20"/>
              </w:rPr>
              <w:t>- Articles 65 à 71 du Règlement (UE) n°1303/2013 du 17 décembre 2013 (éligibilité des dépenses et pérennité)</w:t>
            </w:r>
          </w:p>
          <w:p w:rsidR="0092631B" w:rsidRDefault="0092631B" w:rsidP="00401DB2">
            <w:pPr>
              <w:pStyle w:val="Normalpucetableau"/>
              <w:numPr>
                <w:ilvl w:val="0"/>
                <w:numId w:val="0"/>
              </w:numPr>
              <w:tabs>
                <w:tab w:val="left" w:pos="6756"/>
              </w:tabs>
              <w:spacing w:before="0" w:after="120"/>
              <w:rPr>
                <w:rFonts w:ascii="Arial" w:hAnsi="Arial" w:cs="Arial"/>
                <w:sz w:val="20"/>
              </w:rPr>
            </w:pPr>
            <w:r w:rsidRPr="00125554">
              <w:rPr>
                <w:rFonts w:ascii="Arial" w:hAnsi="Arial" w:cs="Arial"/>
                <w:sz w:val="20"/>
              </w:rPr>
              <w:t xml:space="preserve">- </w:t>
            </w:r>
            <w:r>
              <w:rPr>
                <w:rFonts w:ascii="Arial" w:hAnsi="Arial" w:cs="Arial"/>
                <w:sz w:val="20"/>
              </w:rPr>
              <w:t>D</w:t>
            </w:r>
            <w:r w:rsidRPr="00125554">
              <w:rPr>
                <w:rFonts w:ascii="Arial" w:hAnsi="Arial" w:cs="Arial"/>
                <w:sz w:val="20"/>
              </w:rPr>
              <w:t xml:space="preserve">écret </w:t>
            </w:r>
            <w:r>
              <w:rPr>
                <w:rFonts w:ascii="Arial" w:hAnsi="Arial" w:cs="Arial"/>
                <w:sz w:val="20"/>
              </w:rPr>
              <w:t>et arrêté fixant les règles nationales</w:t>
            </w:r>
            <w:r w:rsidRPr="00125554">
              <w:rPr>
                <w:rFonts w:ascii="Arial" w:hAnsi="Arial" w:cs="Arial"/>
                <w:sz w:val="20"/>
              </w:rPr>
              <w:t xml:space="preserve"> d’éligibilité des dépenses </w:t>
            </w:r>
            <w:r>
              <w:rPr>
                <w:rFonts w:ascii="Arial" w:hAnsi="Arial" w:cs="Arial"/>
                <w:sz w:val="20"/>
              </w:rPr>
              <w:t>des programmes européens pour la période 2014-2020</w:t>
            </w:r>
            <w:r w:rsidRPr="00125554">
              <w:rPr>
                <w:rFonts w:ascii="Arial" w:hAnsi="Arial" w:cs="Arial"/>
                <w:sz w:val="20"/>
              </w:rPr>
              <w:t>.</w:t>
            </w:r>
          </w:p>
          <w:p w:rsidR="0092631B" w:rsidRDefault="0092631B" w:rsidP="00401DB2">
            <w:pPr>
              <w:pStyle w:val="Normalpucetableau"/>
              <w:numPr>
                <w:ilvl w:val="0"/>
                <w:numId w:val="0"/>
              </w:numPr>
              <w:tabs>
                <w:tab w:val="left" w:pos="6756"/>
              </w:tabs>
              <w:spacing w:before="0" w:after="120"/>
              <w:rPr>
                <w:rFonts w:ascii="Arial" w:hAnsi="Arial" w:cs="Arial"/>
                <w:sz w:val="20"/>
              </w:rPr>
            </w:pPr>
            <w:r>
              <w:rPr>
                <w:rFonts w:ascii="Arial" w:hAnsi="Arial" w:cs="Arial"/>
                <w:sz w:val="20"/>
              </w:rPr>
              <w:t>- PDR Limousin 2014-2020.</w:t>
            </w:r>
          </w:p>
          <w:p w:rsidR="0092631B" w:rsidRDefault="0092631B" w:rsidP="00401DB2">
            <w:pPr>
              <w:pStyle w:val="Normalpucetableau"/>
              <w:numPr>
                <w:ilvl w:val="0"/>
                <w:numId w:val="0"/>
              </w:numPr>
              <w:tabs>
                <w:tab w:val="left" w:pos="6756"/>
              </w:tabs>
              <w:spacing w:before="0" w:after="120"/>
              <w:rPr>
                <w:rFonts w:ascii="Arial" w:hAnsi="Arial" w:cs="Arial"/>
                <w:sz w:val="20"/>
              </w:rPr>
            </w:pPr>
            <w:r>
              <w:rPr>
                <w:rFonts w:ascii="Arial" w:hAnsi="Arial" w:cs="Arial"/>
                <w:sz w:val="20"/>
              </w:rPr>
              <w:t>- Règles européennes et nationales en matière de marchés publics.</w:t>
            </w:r>
          </w:p>
          <w:p w:rsidR="0092631B" w:rsidRDefault="0092631B" w:rsidP="00401DB2">
            <w:pPr>
              <w:tabs>
                <w:tab w:val="left" w:pos="6756"/>
              </w:tabs>
              <w:spacing w:after="120" w:line="240" w:lineRule="auto"/>
            </w:pPr>
            <w:r>
              <w:rPr>
                <w:rFonts w:ascii="Arial" w:hAnsi="Arial" w:cs="Arial"/>
                <w:sz w:val="20"/>
                <w:szCs w:val="20"/>
              </w:rPr>
              <w:t>- Régimes d’aide d’État en vigueur (régimes d’aide d’État notifiés, exemptés ou de minimis).</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caps/>
                <w:sz w:val="20"/>
                <w:szCs w:val="20"/>
              </w:rPr>
              <w:lastRenderedPageBreak/>
              <w:t>5. Bénéficiaires</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pStyle w:val="NormalWeb"/>
              <w:tabs>
                <w:tab w:val="left" w:pos="6756"/>
              </w:tabs>
              <w:spacing w:before="0" w:after="0"/>
              <w:jc w:val="both"/>
              <w:rPr>
                <w:rFonts w:ascii="Arial" w:hAnsi="Arial" w:cs="Arial"/>
                <w:color w:val="000000"/>
                <w:sz w:val="20"/>
                <w:szCs w:val="20"/>
              </w:rPr>
            </w:pPr>
          </w:p>
          <w:p w:rsidR="0092631B" w:rsidRDefault="0092631B" w:rsidP="00401DB2">
            <w:pPr>
              <w:pStyle w:val="NormalWeb"/>
              <w:tabs>
                <w:tab w:val="left" w:pos="6756"/>
              </w:tabs>
              <w:spacing w:before="0" w:after="0"/>
              <w:jc w:val="both"/>
              <w:rPr>
                <w:rFonts w:ascii="Arial" w:hAnsi="Arial" w:cs="Arial"/>
                <w:sz w:val="20"/>
                <w:szCs w:val="20"/>
              </w:rPr>
            </w:pPr>
            <w:r>
              <w:rPr>
                <w:rFonts w:ascii="Arial" w:hAnsi="Arial" w:cs="Arial"/>
                <w:color w:val="000000"/>
                <w:sz w:val="20"/>
                <w:szCs w:val="20"/>
              </w:rPr>
              <w:t>La Communauté d'Agglomération du Grand Guéret en tant que structure porteuse du GAL</w:t>
            </w:r>
            <w:r>
              <w:rPr>
                <w:rFonts w:ascii="Arial" w:hAnsi="Arial" w:cs="Arial"/>
                <w:sz w:val="20"/>
                <w:szCs w:val="20"/>
              </w:rPr>
              <w:t xml:space="preserve"> ainsi que toutes personnes physiques ou morales, sélectionnées par le GAL dans le cadre de sa stratégie de développement local ;</w:t>
            </w:r>
          </w:p>
          <w:p w:rsidR="0092631B" w:rsidRPr="00696198" w:rsidRDefault="0092631B" w:rsidP="00401DB2">
            <w:pPr>
              <w:pStyle w:val="NormalWeb"/>
              <w:tabs>
                <w:tab w:val="left" w:pos="6756"/>
              </w:tabs>
              <w:spacing w:before="0" w:after="0"/>
              <w:jc w:val="both"/>
              <w:rPr>
                <w:rFonts w:ascii="Arial" w:hAnsi="Arial" w:cs="Arial"/>
                <w:sz w:val="20"/>
                <w:szCs w:val="20"/>
              </w:rPr>
            </w:pP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caps/>
                <w:sz w:val="20"/>
                <w:szCs w:val="20"/>
              </w:rPr>
              <w:t>6. Coûts admissibles</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Pr="00696198" w:rsidRDefault="0092631B" w:rsidP="00401DB2">
            <w:pPr>
              <w:tabs>
                <w:tab w:val="left" w:pos="6756"/>
              </w:tabs>
              <w:spacing w:after="120" w:line="240" w:lineRule="auto"/>
              <w:jc w:val="both"/>
              <w:rPr>
                <w:rFonts w:ascii="Arial" w:hAnsi="Arial" w:cs="Arial"/>
                <w:color w:val="000000"/>
                <w:sz w:val="20"/>
                <w:szCs w:val="20"/>
                <w:u w:val="single"/>
              </w:rPr>
            </w:pPr>
            <w:r w:rsidRPr="00696198">
              <w:rPr>
                <w:rFonts w:ascii="Arial" w:hAnsi="Arial" w:cs="Arial"/>
                <w:color w:val="000000"/>
                <w:sz w:val="20"/>
                <w:szCs w:val="20"/>
                <w:u w:val="single"/>
              </w:rPr>
              <w:t>Les dépenses éligibles sont :</w:t>
            </w:r>
          </w:p>
          <w:p w:rsidR="0092631B" w:rsidRPr="00696198" w:rsidRDefault="0092631B" w:rsidP="00401DB2">
            <w:pPr>
              <w:numPr>
                <w:ilvl w:val="2"/>
                <w:numId w:val="7"/>
              </w:numPr>
              <w:tabs>
                <w:tab w:val="left" w:pos="6756"/>
              </w:tabs>
              <w:rPr>
                <w:rFonts w:ascii="Arial" w:hAnsi="Arial" w:cs="Arial"/>
                <w:color w:val="000000"/>
                <w:sz w:val="20"/>
                <w:szCs w:val="20"/>
                <w:u w:val="single"/>
              </w:rPr>
            </w:pPr>
            <w:r w:rsidRPr="00696198">
              <w:rPr>
                <w:rFonts w:ascii="Arial" w:hAnsi="Arial" w:cs="Arial"/>
                <w:color w:val="000000"/>
                <w:sz w:val="20"/>
                <w:szCs w:val="20"/>
                <w:u w:val="single"/>
              </w:rPr>
              <w:t xml:space="preserve">Pour l’appui à la préparation des activités de coopération : </w:t>
            </w:r>
          </w:p>
          <w:p w:rsidR="0092631B" w:rsidRPr="00696198" w:rsidRDefault="0092631B" w:rsidP="00401DB2">
            <w:pPr>
              <w:numPr>
                <w:ilvl w:val="0"/>
                <w:numId w:val="10"/>
              </w:numPr>
              <w:tabs>
                <w:tab w:val="left" w:pos="1493"/>
              </w:tabs>
              <w:ind w:left="1493" w:hanging="425"/>
              <w:rPr>
                <w:rFonts w:ascii="Arial" w:hAnsi="Arial" w:cs="Arial"/>
                <w:color w:val="000000"/>
                <w:sz w:val="20"/>
                <w:szCs w:val="20"/>
              </w:rPr>
            </w:pPr>
            <w:r w:rsidRPr="00696198">
              <w:rPr>
                <w:rFonts w:ascii="Arial" w:hAnsi="Arial" w:cs="Arial"/>
                <w:color w:val="000000"/>
                <w:sz w:val="20"/>
                <w:szCs w:val="20"/>
              </w:rPr>
              <w:t>frais de déplacement (transport), frais de séjour (hôtel, restauration), de traduction et d’interprétariat.</w:t>
            </w:r>
          </w:p>
          <w:p w:rsidR="0092631B" w:rsidRPr="00696198" w:rsidRDefault="0092631B" w:rsidP="00401DB2">
            <w:pPr>
              <w:numPr>
                <w:ilvl w:val="2"/>
                <w:numId w:val="7"/>
              </w:numPr>
              <w:tabs>
                <w:tab w:val="left" w:pos="6756"/>
              </w:tabs>
              <w:spacing w:after="120" w:line="240" w:lineRule="auto"/>
              <w:jc w:val="both"/>
              <w:rPr>
                <w:rFonts w:ascii="Arial" w:hAnsi="Arial" w:cs="Arial"/>
                <w:color w:val="000000"/>
                <w:sz w:val="20"/>
                <w:szCs w:val="20"/>
                <w:u w:val="single"/>
              </w:rPr>
            </w:pPr>
            <w:r w:rsidRPr="00696198">
              <w:rPr>
                <w:rFonts w:ascii="Arial" w:hAnsi="Arial" w:cs="Arial"/>
                <w:color w:val="000000"/>
                <w:sz w:val="20"/>
                <w:szCs w:val="20"/>
                <w:u w:val="single"/>
              </w:rPr>
              <w:t xml:space="preserve"> Pour la mise en œuvre opérationnelle des activités de coopération : </w:t>
            </w:r>
          </w:p>
          <w:p w:rsidR="0092631B" w:rsidRDefault="0092631B" w:rsidP="00401DB2">
            <w:pPr>
              <w:numPr>
                <w:ilvl w:val="0"/>
                <w:numId w:val="5"/>
              </w:numPr>
              <w:spacing w:after="120" w:line="240" w:lineRule="auto"/>
              <w:jc w:val="both"/>
              <w:rPr>
                <w:rFonts w:ascii="Arial" w:hAnsi="Arial" w:cs="Arial"/>
                <w:color w:val="000000"/>
                <w:sz w:val="20"/>
                <w:szCs w:val="20"/>
                <w:u w:val="single"/>
              </w:rPr>
            </w:pPr>
            <w:r w:rsidRPr="00696198">
              <w:rPr>
                <w:rFonts w:ascii="Arial" w:hAnsi="Arial" w:cs="Arial"/>
                <w:color w:val="000000"/>
                <w:sz w:val="20"/>
                <w:szCs w:val="20"/>
                <w:u w:val="single"/>
              </w:rPr>
              <w:t xml:space="preserve">Investissements immatériels : </w:t>
            </w:r>
            <w:r w:rsidRPr="00696198">
              <w:rPr>
                <w:rFonts w:ascii="Arial" w:hAnsi="Arial" w:cs="Arial"/>
                <w:color w:val="000000"/>
                <w:sz w:val="20"/>
                <w:szCs w:val="20"/>
              </w:rPr>
              <w:t>par exemple, études portant sur le territoire concerné, prestations externes pour les actions d’information, d’animation et de communication portant sur l’activité de coopération ;</w:t>
            </w:r>
          </w:p>
          <w:p w:rsidR="0092631B" w:rsidRPr="00696198" w:rsidRDefault="0092631B" w:rsidP="00401DB2">
            <w:pPr>
              <w:numPr>
                <w:ilvl w:val="0"/>
                <w:numId w:val="5"/>
              </w:numPr>
              <w:spacing w:after="120" w:line="240" w:lineRule="auto"/>
              <w:jc w:val="both"/>
              <w:rPr>
                <w:rFonts w:ascii="Arial" w:hAnsi="Arial" w:cs="Arial"/>
                <w:color w:val="000000"/>
                <w:sz w:val="20"/>
                <w:szCs w:val="20"/>
              </w:rPr>
            </w:pPr>
            <w:r>
              <w:rPr>
                <w:rFonts w:ascii="Arial" w:hAnsi="Arial" w:cs="Arial"/>
                <w:color w:val="000000"/>
                <w:sz w:val="20"/>
                <w:szCs w:val="20"/>
                <w:u w:val="single"/>
              </w:rPr>
              <w:t>Investissements</w:t>
            </w:r>
            <w:r w:rsidRPr="00696198">
              <w:rPr>
                <w:rFonts w:ascii="Arial" w:hAnsi="Arial" w:cs="Arial"/>
                <w:color w:val="000000"/>
                <w:sz w:val="20"/>
                <w:szCs w:val="20"/>
                <w:u w:val="single"/>
              </w:rPr>
              <w:t xml:space="preserve"> matériels : </w:t>
            </w:r>
            <w:r w:rsidRPr="00696198">
              <w:rPr>
                <w:rFonts w:ascii="Arial" w:hAnsi="Arial" w:cs="Arial"/>
                <w:color w:val="000000"/>
                <w:sz w:val="20"/>
                <w:szCs w:val="20"/>
              </w:rPr>
              <w:t xml:space="preserve">produits issus des actions communes (par exemple, édition de guides pédagogiques), équipements, matériels, prototypes, supports de communication. </w:t>
            </w:r>
          </w:p>
          <w:p w:rsidR="0092631B" w:rsidRDefault="0092631B" w:rsidP="00401DB2">
            <w:pPr>
              <w:tabs>
                <w:tab w:val="left" w:pos="6756"/>
              </w:tabs>
              <w:ind w:left="1260"/>
              <w:rPr>
                <w:rFonts w:ascii="Arial" w:hAnsi="Arial" w:cs="Arial"/>
                <w:color w:val="000000"/>
                <w:sz w:val="20"/>
                <w:szCs w:val="20"/>
              </w:rPr>
            </w:pPr>
            <w:r w:rsidRPr="00696198">
              <w:rPr>
                <w:rFonts w:ascii="Arial" w:hAnsi="Arial" w:cs="Arial"/>
                <w:color w:val="000000"/>
                <w:sz w:val="20"/>
                <w:szCs w:val="20"/>
                <w:u w:val="single"/>
              </w:rPr>
              <w:t xml:space="preserve"> - frais liés à la mise en œuvre des projets de coopération : </w:t>
            </w:r>
            <w:r w:rsidRPr="00696198">
              <w:rPr>
                <w:rFonts w:ascii="Arial" w:hAnsi="Arial" w:cs="Arial"/>
                <w:color w:val="000000"/>
                <w:sz w:val="20"/>
                <w:szCs w:val="20"/>
              </w:rPr>
              <w:t xml:space="preserve">frais de personnel (salaire annuel chargé plafonné à 50 000 € par ETP), frais de déplacement (transport), frais de séjour (hôtel, restauration), de traduction et d’interprétariat </w:t>
            </w:r>
          </w:p>
          <w:p w:rsidR="0092631B" w:rsidRPr="00D7640F" w:rsidRDefault="0092631B" w:rsidP="00401DB2">
            <w:pPr>
              <w:numPr>
                <w:ilvl w:val="2"/>
                <w:numId w:val="7"/>
              </w:numPr>
              <w:tabs>
                <w:tab w:val="left" w:pos="709"/>
              </w:tabs>
              <w:spacing w:after="120" w:line="240" w:lineRule="auto"/>
              <w:rPr>
                <w:rFonts w:ascii="Arial" w:hAnsi="Arial" w:cs="Arial"/>
                <w:sz w:val="20"/>
                <w:szCs w:val="20"/>
              </w:rPr>
            </w:pPr>
            <w:r>
              <w:rPr>
                <w:rFonts w:ascii="Arial" w:hAnsi="Arial" w:cs="Arial"/>
                <w:sz w:val="20"/>
                <w:szCs w:val="20"/>
              </w:rPr>
              <w:t>Frais liés à la mise en œuvre des obligations de publicité européenne</w:t>
            </w:r>
          </w:p>
          <w:p w:rsidR="0092631B" w:rsidRPr="00696198" w:rsidRDefault="0092631B" w:rsidP="00401DB2">
            <w:pPr>
              <w:tabs>
                <w:tab w:val="left" w:pos="6756"/>
              </w:tabs>
              <w:ind w:left="1260"/>
              <w:rPr>
                <w:rFonts w:ascii="Arial" w:hAnsi="Arial" w:cs="Arial"/>
                <w:color w:val="000000"/>
                <w:sz w:val="20"/>
                <w:szCs w:val="20"/>
              </w:rPr>
            </w:pPr>
          </w:p>
          <w:p w:rsidR="0092631B" w:rsidRPr="00696198" w:rsidRDefault="0092631B" w:rsidP="00401DB2">
            <w:pPr>
              <w:spacing w:after="120" w:line="240" w:lineRule="auto"/>
              <w:jc w:val="both"/>
              <w:rPr>
                <w:rFonts w:ascii="Arial" w:hAnsi="Arial" w:cs="Arial"/>
                <w:color w:val="000000"/>
                <w:sz w:val="20"/>
                <w:szCs w:val="20"/>
                <w:u w:val="single"/>
              </w:rPr>
            </w:pPr>
            <w:r w:rsidRPr="00696198">
              <w:rPr>
                <w:rFonts w:ascii="Arial" w:hAnsi="Arial" w:cs="Arial"/>
                <w:color w:val="000000"/>
                <w:sz w:val="20"/>
                <w:szCs w:val="20"/>
                <w:u w:val="single"/>
              </w:rPr>
              <w:t>Est inéligible pour toutes les actions, la TVA lorsqu’elle est totalement ou partiellement récupérée.</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caps/>
                <w:sz w:val="20"/>
                <w:szCs w:val="20"/>
              </w:rPr>
              <w:t>7. Conditions d’admissibilité</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Pr="00D7640F" w:rsidRDefault="0092631B" w:rsidP="00401DB2">
            <w:pPr>
              <w:numPr>
                <w:ilvl w:val="0"/>
                <w:numId w:val="9"/>
              </w:numPr>
              <w:tabs>
                <w:tab w:val="left" w:pos="501"/>
              </w:tabs>
              <w:overflowPunct w:val="0"/>
              <w:autoSpaceDE w:val="0"/>
              <w:spacing w:before="60" w:after="120" w:line="240" w:lineRule="auto"/>
              <w:ind w:left="359" w:hanging="142"/>
              <w:jc w:val="both"/>
              <w:rPr>
                <w:rFonts w:ascii="Arial" w:hAnsi="Arial" w:cs="Arial"/>
                <w:sz w:val="20"/>
                <w:szCs w:val="20"/>
              </w:rPr>
            </w:pPr>
            <w:r w:rsidRPr="00D7640F">
              <w:rPr>
                <w:rFonts w:ascii="Arial" w:hAnsi="Arial" w:cs="Arial"/>
                <w:sz w:val="20"/>
                <w:szCs w:val="20"/>
              </w:rPr>
              <w:lastRenderedPageBreak/>
              <w:t>Respecter les règles nationales d’éligibilité des dépenses et le cas échéant, le régime d’aide d’État applicable ;</w:t>
            </w:r>
          </w:p>
          <w:p w:rsidR="0092631B" w:rsidRPr="00D7640F" w:rsidRDefault="0092631B" w:rsidP="00401DB2">
            <w:pPr>
              <w:numPr>
                <w:ilvl w:val="0"/>
                <w:numId w:val="9"/>
              </w:numPr>
              <w:tabs>
                <w:tab w:val="left" w:pos="501"/>
              </w:tabs>
              <w:overflowPunct w:val="0"/>
              <w:autoSpaceDE w:val="0"/>
              <w:spacing w:before="60" w:after="120" w:line="240" w:lineRule="auto"/>
              <w:ind w:left="359" w:hanging="142"/>
              <w:jc w:val="both"/>
              <w:rPr>
                <w:rFonts w:ascii="Arial" w:hAnsi="Arial" w:cs="Arial"/>
                <w:sz w:val="20"/>
                <w:szCs w:val="20"/>
              </w:rPr>
            </w:pPr>
            <w:r w:rsidRPr="00D7640F">
              <w:rPr>
                <w:rFonts w:ascii="Arial" w:hAnsi="Arial" w:cs="Arial"/>
                <w:sz w:val="20"/>
                <w:szCs w:val="20"/>
              </w:rPr>
              <w:t>Une structure maître d’ouvrage d’une opération bénéficiant à tout ou partie du périmètre du GAL est éligible à la sous-mesure 19.3 même si elle n’est pas administrativement domiciliée dans le périmètre du GAL</w:t>
            </w:r>
          </w:p>
          <w:p w:rsidR="0092631B" w:rsidRPr="00D7640F" w:rsidRDefault="0092631B" w:rsidP="00401DB2">
            <w:pPr>
              <w:numPr>
                <w:ilvl w:val="0"/>
                <w:numId w:val="9"/>
              </w:numPr>
              <w:tabs>
                <w:tab w:val="left" w:pos="501"/>
              </w:tabs>
              <w:overflowPunct w:val="0"/>
              <w:autoSpaceDE w:val="0"/>
              <w:spacing w:before="60" w:after="120" w:line="240" w:lineRule="auto"/>
              <w:ind w:left="359" w:hanging="142"/>
              <w:jc w:val="both"/>
              <w:rPr>
                <w:rFonts w:ascii="Arial" w:hAnsi="Arial" w:cs="Arial"/>
                <w:sz w:val="20"/>
                <w:szCs w:val="20"/>
              </w:rPr>
            </w:pPr>
            <w:r w:rsidRPr="00D7640F">
              <w:rPr>
                <w:rFonts w:ascii="Arial" w:hAnsi="Arial" w:cs="Arial"/>
                <w:sz w:val="20"/>
                <w:szCs w:val="20"/>
              </w:rPr>
              <w:t xml:space="preserve">Respecter les conditions d’éligibilité additionnelles, suivantes, définies par le GAL, pour les projets de mise en œuvre opérationnelle des actions de coopération : </w:t>
            </w:r>
          </w:p>
          <w:p w:rsidR="0092631B" w:rsidRDefault="0092631B" w:rsidP="00401DB2">
            <w:pPr>
              <w:pStyle w:val="Normalpucetableau"/>
              <w:numPr>
                <w:ilvl w:val="0"/>
                <w:numId w:val="9"/>
              </w:numPr>
              <w:tabs>
                <w:tab w:val="clear" w:pos="284"/>
                <w:tab w:val="left" w:pos="501"/>
              </w:tabs>
              <w:spacing w:before="0" w:after="120"/>
              <w:ind w:left="359" w:hanging="142"/>
              <w:jc w:val="both"/>
              <w:rPr>
                <w:rFonts w:ascii="Arial" w:hAnsi="Arial" w:cs="Arial"/>
                <w:color w:val="000000"/>
                <w:sz w:val="20"/>
              </w:rPr>
            </w:pPr>
            <w:r>
              <w:rPr>
                <w:rFonts w:ascii="Arial" w:hAnsi="Arial" w:cs="Arial"/>
                <w:sz w:val="20"/>
              </w:rPr>
              <w:t>Le porteur de projet doit être en relation avec au moins un partenaire français dans le cadre d'un projet de coopération inter-territoriale, ou un partenaire d'un État Membre de l'Union Européenne ou d'un Pays Tiers dans le cadre d'un projet de coopération transnationale.</w:t>
            </w:r>
          </w:p>
          <w:p w:rsidR="0092631B" w:rsidRDefault="0092631B" w:rsidP="00401DB2">
            <w:pPr>
              <w:pStyle w:val="Normalpucetableau"/>
              <w:numPr>
                <w:ilvl w:val="0"/>
                <w:numId w:val="9"/>
              </w:numPr>
              <w:tabs>
                <w:tab w:val="clear" w:pos="284"/>
                <w:tab w:val="left" w:pos="501"/>
              </w:tabs>
              <w:spacing w:before="0" w:after="120"/>
              <w:ind w:left="359" w:hanging="142"/>
              <w:jc w:val="both"/>
            </w:pPr>
            <w:r>
              <w:rPr>
                <w:rFonts w:ascii="Arial" w:hAnsi="Arial" w:cs="Arial"/>
                <w:color w:val="000000"/>
                <w:sz w:val="20"/>
              </w:rPr>
              <w:t xml:space="preserve">Le projet doit présenter les éléments suivants : contexte, objectifs, actions, résultats attendus et un budget prévisionnel. </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caps/>
                <w:sz w:val="20"/>
                <w:szCs w:val="20"/>
              </w:rPr>
              <w:t>8. Principes applicables à l’établissement des critères de sélection</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Pr="00696198" w:rsidRDefault="0092631B" w:rsidP="00401DB2">
            <w:pPr>
              <w:tabs>
                <w:tab w:val="left" w:pos="284"/>
                <w:tab w:val="left" w:pos="6756"/>
              </w:tabs>
              <w:overflowPunct w:val="0"/>
              <w:autoSpaceDE w:val="0"/>
              <w:spacing w:before="60" w:after="120" w:line="240" w:lineRule="auto"/>
              <w:ind w:left="360"/>
              <w:jc w:val="both"/>
              <w:rPr>
                <w:rFonts w:ascii="Arial" w:hAnsi="Arial" w:cs="Arial"/>
                <w:sz w:val="20"/>
                <w:szCs w:val="20"/>
              </w:rPr>
            </w:pPr>
            <w:r w:rsidRPr="00696198">
              <w:rPr>
                <w:rFonts w:ascii="Arial" w:hAnsi="Arial" w:cs="Arial"/>
                <w:sz w:val="20"/>
                <w:szCs w:val="20"/>
              </w:rPr>
              <w:t xml:space="preserve">Les opérations retenues seront sélectionnées par le GAL, dans le cadre du comité de programmation, sur la base de critères de sélection et d’une grille d’analyse qui permettront de préciser et de valider la cohérence et la pertinence des projets. </w:t>
            </w:r>
          </w:p>
          <w:p w:rsidR="0092631B" w:rsidRPr="00696198" w:rsidRDefault="0092631B" w:rsidP="00401DB2">
            <w:pPr>
              <w:tabs>
                <w:tab w:val="left" w:pos="284"/>
                <w:tab w:val="left" w:pos="6756"/>
              </w:tabs>
              <w:overflowPunct w:val="0"/>
              <w:autoSpaceDE w:val="0"/>
              <w:spacing w:before="60" w:after="120" w:line="240" w:lineRule="auto"/>
              <w:ind w:left="360"/>
              <w:jc w:val="both"/>
              <w:rPr>
                <w:rFonts w:ascii="Arial" w:hAnsi="Arial" w:cs="Arial"/>
                <w:sz w:val="20"/>
                <w:szCs w:val="20"/>
              </w:rPr>
            </w:pPr>
            <w:r w:rsidRPr="00696198">
              <w:rPr>
                <w:rFonts w:ascii="Arial" w:hAnsi="Arial" w:cs="Arial"/>
                <w:sz w:val="20"/>
                <w:szCs w:val="20"/>
              </w:rPr>
              <w:t xml:space="preserve">Les principes permettant de fixer les critères de sélection, définis par le GAL, sont les suivants : </w:t>
            </w:r>
          </w:p>
          <w:p w:rsidR="0092631B" w:rsidRPr="00D7640F"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sidRPr="00D7640F">
              <w:rPr>
                <w:rFonts w:ascii="Arial" w:hAnsi="Arial" w:cs="Arial"/>
                <w:sz w:val="20"/>
                <w:szCs w:val="20"/>
              </w:rPr>
              <w:t>l'adéquation avec la stratégie locale de développement</w:t>
            </w:r>
          </w:p>
          <w:p w:rsidR="0092631B" w:rsidRPr="00D7640F"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sidRPr="00D7640F">
              <w:rPr>
                <w:rFonts w:ascii="Arial" w:hAnsi="Arial" w:cs="Arial"/>
                <w:sz w:val="20"/>
                <w:szCs w:val="20"/>
              </w:rPr>
              <w:t>l'approche innovante</w:t>
            </w:r>
          </w:p>
          <w:p w:rsidR="0092631B" w:rsidRPr="00D7640F"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sidRPr="00D7640F">
              <w:rPr>
                <w:rFonts w:ascii="Arial" w:hAnsi="Arial" w:cs="Arial"/>
                <w:sz w:val="20"/>
                <w:szCs w:val="20"/>
              </w:rPr>
              <w:t>la démarche partenariale</w:t>
            </w:r>
          </w:p>
          <w:p w:rsidR="0092631B" w:rsidRPr="00D7640F"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sidRPr="00D7640F">
              <w:rPr>
                <w:rFonts w:ascii="Arial" w:hAnsi="Arial" w:cs="Arial"/>
                <w:sz w:val="20"/>
                <w:szCs w:val="20"/>
              </w:rPr>
              <w:t>la plus-value de la coopération pour le projet local</w:t>
            </w:r>
          </w:p>
          <w:p w:rsidR="0092631B" w:rsidRPr="00D7640F"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sidRPr="00D7640F">
              <w:rPr>
                <w:rFonts w:ascii="Arial" w:hAnsi="Arial" w:cs="Arial"/>
                <w:sz w:val="20"/>
                <w:szCs w:val="20"/>
              </w:rPr>
              <w:t>la qualité des actions communes (capacité à produire des résultats)</w:t>
            </w:r>
          </w:p>
          <w:p w:rsidR="0092631B" w:rsidRPr="00696198" w:rsidRDefault="0092631B" w:rsidP="00401DB2">
            <w:pPr>
              <w:tabs>
                <w:tab w:val="left" w:pos="284"/>
                <w:tab w:val="left" w:pos="6756"/>
              </w:tabs>
              <w:overflowPunct w:val="0"/>
              <w:autoSpaceDE w:val="0"/>
              <w:spacing w:before="60" w:after="120" w:line="240" w:lineRule="auto"/>
              <w:ind w:left="360"/>
              <w:jc w:val="both"/>
              <w:rPr>
                <w:rFonts w:ascii="Arial" w:hAnsi="Arial" w:cs="Arial"/>
                <w:sz w:val="20"/>
                <w:szCs w:val="20"/>
              </w:rPr>
            </w:pPr>
          </w:p>
          <w:p w:rsidR="0092631B" w:rsidRDefault="0092631B" w:rsidP="00401DB2">
            <w:pPr>
              <w:tabs>
                <w:tab w:val="left" w:pos="284"/>
                <w:tab w:val="left" w:pos="6756"/>
              </w:tabs>
              <w:overflowPunct w:val="0"/>
              <w:autoSpaceDE w:val="0"/>
              <w:spacing w:before="60" w:after="120" w:line="240" w:lineRule="auto"/>
              <w:ind w:left="360"/>
              <w:jc w:val="both"/>
              <w:rPr>
                <w:rFonts w:ascii="Arial" w:hAnsi="Arial" w:cs="Arial"/>
                <w:sz w:val="20"/>
                <w:szCs w:val="20"/>
              </w:rPr>
            </w:pPr>
            <w:r w:rsidRPr="00696198">
              <w:rPr>
                <w:rFonts w:ascii="Arial" w:hAnsi="Arial" w:cs="Arial"/>
                <w:sz w:val="20"/>
                <w:szCs w:val="20"/>
              </w:rPr>
              <w:t>L’avis d’opportunité de l’Autorité de gestion se basera sur :</w:t>
            </w:r>
          </w:p>
          <w:p w:rsidR="0092631B"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Pr>
                <w:rFonts w:ascii="Arial" w:hAnsi="Arial" w:cs="Arial"/>
                <w:sz w:val="20"/>
                <w:szCs w:val="20"/>
              </w:rPr>
              <w:t>la pertinence de l’opération par rapport à la stratégie de développement local du GAL ;</w:t>
            </w:r>
          </w:p>
          <w:p w:rsidR="0092631B"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Pr>
                <w:rFonts w:ascii="Arial" w:hAnsi="Arial" w:cs="Arial"/>
                <w:sz w:val="20"/>
                <w:szCs w:val="20"/>
              </w:rPr>
              <w:t>l’implication des partenaires locaux ;</w:t>
            </w:r>
          </w:p>
          <w:p w:rsidR="0092631B" w:rsidRPr="00696198" w:rsidRDefault="0092631B" w:rsidP="00401DB2">
            <w:pPr>
              <w:numPr>
                <w:ilvl w:val="0"/>
                <w:numId w:val="11"/>
              </w:numPr>
              <w:tabs>
                <w:tab w:val="left" w:pos="284"/>
                <w:tab w:val="left" w:pos="6756"/>
              </w:tabs>
              <w:overflowPunct w:val="0"/>
              <w:autoSpaceDE w:val="0"/>
              <w:spacing w:before="60" w:after="120" w:line="240" w:lineRule="auto"/>
              <w:jc w:val="both"/>
              <w:rPr>
                <w:rFonts w:ascii="Arial" w:hAnsi="Arial" w:cs="Arial"/>
                <w:sz w:val="20"/>
                <w:szCs w:val="20"/>
              </w:rPr>
            </w:pPr>
            <w:r>
              <w:rPr>
                <w:rFonts w:ascii="Arial" w:hAnsi="Arial" w:cs="Arial"/>
                <w:sz w:val="20"/>
                <w:szCs w:val="20"/>
              </w:rPr>
              <w:t>la priorité aux nouveaux partenaires ou aux nouveaux projets par rapport aux coopérations antérieures.</w:t>
            </w:r>
            <w:r w:rsidRPr="00696198">
              <w:rPr>
                <w:rFonts w:ascii="Arial" w:hAnsi="Arial" w:cs="Arial"/>
                <w:sz w:val="20"/>
                <w:szCs w:val="20"/>
              </w:rPr>
              <w:t xml:space="preserve"> </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caps/>
                <w:sz w:val="20"/>
                <w:szCs w:val="20"/>
              </w:rPr>
              <w:t>9. Montants et taux d’aide applicables</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Taux de cofinancement du FEADER</w:t>
            </w:r>
            <w:r>
              <w:rPr>
                <w:rFonts w:ascii="Arial" w:hAnsi="Arial" w:cs="Arial"/>
                <w:sz w:val="20"/>
              </w:rPr>
              <w:t> : 80%.</w:t>
            </w:r>
          </w:p>
          <w:p w:rsidR="0092631B" w:rsidRDefault="0092631B" w:rsidP="00401DB2">
            <w:pPr>
              <w:pStyle w:val="Normalpucetableau"/>
              <w:numPr>
                <w:ilvl w:val="0"/>
                <w:numId w:val="0"/>
              </w:numPr>
              <w:tabs>
                <w:tab w:val="left" w:pos="6756"/>
              </w:tabs>
              <w:spacing w:before="0" w:after="120"/>
              <w:jc w:val="both"/>
              <w:rPr>
                <w:rFonts w:ascii="Arial" w:hAnsi="Arial" w:cs="Arial"/>
                <w:sz w:val="20"/>
              </w:rPr>
            </w:pPr>
          </w:p>
          <w:p w:rsidR="0092631B" w:rsidRDefault="0092631B"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Taux maximum d’aide publique :</w:t>
            </w:r>
          </w:p>
          <w:p w:rsidR="0092631B" w:rsidRDefault="0092631B" w:rsidP="00401DB2">
            <w:pPr>
              <w:pStyle w:val="Normalpucetableau"/>
              <w:numPr>
                <w:ilvl w:val="0"/>
                <w:numId w:val="0"/>
              </w:numPr>
              <w:tabs>
                <w:tab w:val="clear" w:pos="284"/>
                <w:tab w:val="left" w:pos="0"/>
                <w:tab w:val="left" w:pos="6756"/>
              </w:tabs>
              <w:spacing w:before="0" w:after="120"/>
              <w:jc w:val="both"/>
              <w:rPr>
                <w:rFonts w:ascii="Arial" w:hAnsi="Arial" w:cs="Arial"/>
                <w:sz w:val="20"/>
              </w:rPr>
            </w:pPr>
            <w:r>
              <w:rPr>
                <w:rFonts w:ascii="Arial" w:hAnsi="Arial" w:cs="Arial"/>
                <w:sz w:val="20"/>
              </w:rPr>
              <w:t>L’Autorité de gestion demande un autofinancement minimum de 20% du maître d’ouvrage, ainsi :</w:t>
            </w:r>
          </w:p>
          <w:p w:rsidR="0092631B" w:rsidRDefault="0092631B" w:rsidP="00401DB2">
            <w:pPr>
              <w:pStyle w:val="Normalpucetableau"/>
              <w:numPr>
                <w:ilvl w:val="0"/>
                <w:numId w:val="1"/>
              </w:numPr>
              <w:tabs>
                <w:tab w:val="clear" w:pos="284"/>
                <w:tab w:val="left" w:pos="0"/>
                <w:tab w:val="left" w:pos="6756"/>
              </w:tabs>
              <w:spacing w:before="0" w:after="120"/>
              <w:jc w:val="both"/>
              <w:rPr>
                <w:rFonts w:ascii="Arial" w:hAnsi="Arial" w:cs="Arial"/>
                <w:sz w:val="20"/>
              </w:rPr>
            </w:pPr>
            <w:r>
              <w:rPr>
                <w:rFonts w:ascii="Arial" w:hAnsi="Arial" w:cs="Arial"/>
                <w:sz w:val="20"/>
              </w:rPr>
              <w:t>le taux d’aide publique pourra aller jusqu’à 100% dans le respect de l’encadrement des aides d’État lorsque le maître d’ouvrage est public;</w:t>
            </w:r>
          </w:p>
          <w:p w:rsidR="0092631B" w:rsidRDefault="0092631B" w:rsidP="00401DB2">
            <w:pPr>
              <w:pStyle w:val="Normalpucetableau"/>
              <w:numPr>
                <w:ilvl w:val="0"/>
                <w:numId w:val="1"/>
              </w:numPr>
              <w:tabs>
                <w:tab w:val="clear" w:pos="284"/>
                <w:tab w:val="left" w:pos="0"/>
                <w:tab w:val="left" w:pos="6756"/>
              </w:tabs>
              <w:spacing w:before="0" w:after="120"/>
              <w:jc w:val="both"/>
              <w:rPr>
                <w:rFonts w:ascii="Arial" w:hAnsi="Arial" w:cs="Arial"/>
                <w:sz w:val="20"/>
              </w:rPr>
            </w:pPr>
            <w:r>
              <w:rPr>
                <w:rFonts w:ascii="Arial" w:hAnsi="Arial" w:cs="Arial"/>
                <w:sz w:val="20"/>
              </w:rPr>
              <w:t>le taux d’aide publique pourra aller jusqu’à 80% dans le respect de l’encadrement des aides d’État lorsque le maître d’ouvrage est privé</w:t>
            </w:r>
          </w:p>
          <w:p w:rsidR="0092631B" w:rsidRDefault="0092631B" w:rsidP="00401DB2">
            <w:pPr>
              <w:pStyle w:val="Normalpucetableau"/>
              <w:numPr>
                <w:ilvl w:val="0"/>
                <w:numId w:val="0"/>
              </w:numPr>
              <w:tabs>
                <w:tab w:val="left" w:pos="6756"/>
              </w:tabs>
              <w:spacing w:before="0" w:after="120"/>
              <w:jc w:val="both"/>
              <w:rPr>
                <w:rFonts w:ascii="Arial" w:hAnsi="Arial" w:cs="Arial"/>
                <w:sz w:val="20"/>
              </w:rPr>
            </w:pPr>
          </w:p>
          <w:p w:rsidR="0092631B" w:rsidRDefault="0092631B"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Autres modalités de financement, le cas échéant (plafonds, planchers,…) :</w:t>
            </w:r>
          </w:p>
          <w:p w:rsidR="0092631B" w:rsidRDefault="0092631B" w:rsidP="00401DB2">
            <w:pPr>
              <w:tabs>
                <w:tab w:val="left" w:pos="6756"/>
              </w:tabs>
              <w:spacing w:after="120" w:line="240" w:lineRule="auto"/>
              <w:jc w:val="both"/>
              <w:rPr>
                <w:rFonts w:ascii="Arial" w:hAnsi="Arial" w:cs="Arial"/>
                <w:sz w:val="20"/>
              </w:rPr>
            </w:pPr>
            <w:r>
              <w:rPr>
                <w:rFonts w:ascii="Arial" w:hAnsi="Arial" w:cs="Arial"/>
                <w:sz w:val="20"/>
                <w:szCs w:val="20"/>
              </w:rPr>
              <w:lastRenderedPageBreak/>
              <w:t>Plafond de 8 000 € de dépenses éligibles par projet pour les dépenses relatives à l’appui à la préparation des activités de coopération (1.)</w:t>
            </w:r>
          </w:p>
          <w:p w:rsidR="0092631B" w:rsidRDefault="0092631B" w:rsidP="00401DB2">
            <w:pPr>
              <w:pStyle w:val="Normalpucetableau"/>
              <w:numPr>
                <w:ilvl w:val="0"/>
                <w:numId w:val="0"/>
              </w:numPr>
              <w:tabs>
                <w:tab w:val="left" w:pos="6756"/>
              </w:tabs>
              <w:spacing w:before="0" w:after="120"/>
              <w:jc w:val="both"/>
              <w:rPr>
                <w:rFonts w:ascii="Arial" w:hAnsi="Arial" w:cs="Arial"/>
                <w:sz w:val="20"/>
              </w:rPr>
            </w:pPr>
          </w:p>
          <w:p w:rsidR="0092631B" w:rsidRDefault="0092631B"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u w:val="single"/>
              </w:rPr>
              <w:t>- Règles relatives aux aides d’État :</w:t>
            </w:r>
          </w:p>
          <w:p w:rsidR="0092631B" w:rsidRDefault="0092631B" w:rsidP="00401DB2">
            <w:pPr>
              <w:pStyle w:val="Normalpucetableau"/>
              <w:numPr>
                <w:ilvl w:val="0"/>
                <w:numId w:val="0"/>
              </w:numPr>
              <w:tabs>
                <w:tab w:val="left" w:pos="6756"/>
              </w:tabs>
              <w:spacing w:before="0" w:after="120"/>
              <w:jc w:val="both"/>
              <w:rPr>
                <w:rFonts w:ascii="Arial" w:hAnsi="Arial" w:cs="Arial"/>
                <w:sz w:val="20"/>
              </w:rPr>
            </w:pPr>
            <w:r>
              <w:rPr>
                <w:rFonts w:ascii="Arial" w:hAnsi="Arial" w:cs="Arial"/>
                <w:sz w:val="20"/>
              </w:rPr>
              <w:t>Pour les projets ne relevant pas de l’article 42 du Traité de fonctionnement de l’Union européenne (TFUE) et dont le financement est soumis aux règles d’État, il sera utilisé :</w:t>
            </w:r>
          </w:p>
          <w:p w:rsidR="0092631B" w:rsidRDefault="0092631B" w:rsidP="00401DB2">
            <w:pPr>
              <w:pStyle w:val="Normalpucetableau"/>
              <w:numPr>
                <w:ilvl w:val="0"/>
                <w:numId w:val="6"/>
              </w:numPr>
              <w:spacing w:before="0" w:after="120"/>
              <w:jc w:val="both"/>
              <w:rPr>
                <w:rFonts w:ascii="Arial" w:hAnsi="Arial" w:cs="Arial"/>
                <w:sz w:val="20"/>
              </w:rPr>
            </w:pPr>
            <w:r>
              <w:rPr>
                <w:rFonts w:ascii="Arial" w:hAnsi="Arial" w:cs="Arial"/>
                <w:sz w:val="20"/>
              </w:rPr>
              <w:t xml:space="preserve">un régime d’aides exempté de notification au titre du règlement (UE) n° 651/2014 de la Commission du 17 juin 2014, ou au titre du règlement (UE) n°702/2014 de la Commission du 25 juin 2014 ; </w:t>
            </w:r>
          </w:p>
          <w:p w:rsidR="0092631B" w:rsidRDefault="0092631B" w:rsidP="00401DB2">
            <w:pPr>
              <w:pStyle w:val="Normalpucetableau"/>
              <w:numPr>
                <w:ilvl w:val="0"/>
                <w:numId w:val="6"/>
              </w:numPr>
              <w:spacing w:before="0" w:after="120"/>
              <w:jc w:val="both"/>
              <w:rPr>
                <w:rFonts w:ascii="Arial" w:hAnsi="Arial" w:cs="Arial"/>
                <w:sz w:val="20"/>
              </w:rPr>
            </w:pPr>
            <w:r>
              <w:rPr>
                <w:rFonts w:ascii="Arial" w:hAnsi="Arial" w:cs="Arial"/>
                <w:sz w:val="20"/>
              </w:rPr>
              <w:t xml:space="preserve">ou un régime notifié en vertu de l’article 108, paragraphe 3 du TFUE ; </w:t>
            </w:r>
          </w:p>
          <w:p w:rsidR="0092631B" w:rsidRDefault="0092631B" w:rsidP="00401DB2">
            <w:pPr>
              <w:pStyle w:val="Normalpucetableau"/>
              <w:numPr>
                <w:ilvl w:val="0"/>
                <w:numId w:val="6"/>
              </w:numPr>
              <w:spacing w:before="0" w:after="120"/>
              <w:jc w:val="both"/>
              <w:rPr>
                <w:rFonts w:ascii="Arial" w:hAnsi="Arial" w:cs="Arial"/>
                <w:sz w:val="20"/>
              </w:rPr>
            </w:pPr>
            <w:r>
              <w:rPr>
                <w:rFonts w:ascii="Arial" w:hAnsi="Arial" w:cs="Arial"/>
                <w:sz w:val="20"/>
              </w:rPr>
              <w:t xml:space="preserve">ou le règlement (UE) n° 1407/2013 de la Commission du 18 décembre 2013 relatif à l’application des articles 107 et 108 du TFUE aux aides de minimis. </w:t>
            </w:r>
          </w:p>
          <w:p w:rsidR="0092631B" w:rsidRDefault="0092631B" w:rsidP="00401DB2">
            <w:pPr>
              <w:pStyle w:val="Normalpucetableau"/>
              <w:numPr>
                <w:ilvl w:val="0"/>
                <w:numId w:val="0"/>
              </w:numPr>
              <w:tabs>
                <w:tab w:val="left" w:pos="6756"/>
              </w:tabs>
              <w:spacing w:before="0" w:after="120"/>
              <w:jc w:val="both"/>
            </w:pPr>
            <w:r>
              <w:rPr>
                <w:rFonts w:ascii="Arial" w:hAnsi="Arial" w:cs="Arial"/>
                <w:sz w:val="20"/>
              </w:rPr>
              <w:t>Dans ce cas, l’aide maximale selon ces règles est d’application, dans la limite du taux d’aide mentionné ci-dessus. En cas de différence de taux d'aide entre celui prévu par le règlement 1305/2013 et celui prévu par les règles d'aide d’État, le taux le plus faible s'applique.</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caps/>
                <w:sz w:val="20"/>
                <w:szCs w:val="20"/>
              </w:rPr>
              <w:lastRenderedPageBreak/>
              <w:t>10. Informations spécifiques sur la fiche-action</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sz w:val="20"/>
                <w:szCs w:val="20"/>
              </w:rPr>
              <w:t>a) Lignes de complémentarité avec les autres dispositifs du PDRR, avec les dispositifs des autres fonds européens (PO FEDER/FSE, POI FEDER Massif Central, POI FEDER Loire)</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pStyle w:val="Normalgauche"/>
              <w:tabs>
                <w:tab w:val="left" w:pos="6756"/>
              </w:tabs>
              <w:spacing w:after="120"/>
              <w:jc w:val="both"/>
              <w:rPr>
                <w:rFonts w:ascii="Arial" w:hAnsi="Arial"/>
                <w:sz w:val="20"/>
              </w:rPr>
            </w:pPr>
            <w:r>
              <w:rPr>
                <w:rStyle w:val="Marquedecommentaire2"/>
                <w:rFonts w:ascii="Arial" w:hAnsi="Arial"/>
                <w:color w:val="000000"/>
                <w:sz w:val="20"/>
              </w:rPr>
              <w:t>- Pour éviter tout risque de double financement avec les autres types d'opérations du programme de développement rural, le GAL ne pourra pas mobiliser son enveloppe LEADER pour des projets éligibles à d'autres types d'opérations du programme</w:t>
            </w:r>
            <w:r>
              <w:rPr>
                <w:rFonts w:ascii="Arial" w:hAnsi="Arial"/>
                <w:color w:val="000000"/>
                <w:sz w:val="20"/>
              </w:rPr>
              <w:t>.</w:t>
            </w:r>
          </w:p>
          <w:p w:rsidR="0092631B" w:rsidRDefault="0092631B" w:rsidP="00401DB2">
            <w:pPr>
              <w:tabs>
                <w:tab w:val="left" w:pos="6756"/>
              </w:tabs>
              <w:overflowPunct w:val="0"/>
              <w:autoSpaceDE w:val="0"/>
              <w:spacing w:after="120" w:line="240" w:lineRule="auto"/>
              <w:jc w:val="both"/>
              <w:textAlignment w:val="baseline"/>
              <w:rPr>
                <w:rFonts w:ascii="Arial" w:hAnsi="Arial" w:cs="Arial"/>
                <w:sz w:val="20"/>
                <w:szCs w:val="20"/>
              </w:rPr>
            </w:pPr>
            <w:r>
              <w:rPr>
                <w:rFonts w:ascii="Arial" w:hAnsi="Arial" w:cs="Arial"/>
                <w:sz w:val="20"/>
                <w:szCs w:val="20"/>
              </w:rPr>
              <w:t>- Sont exclues les opérations éligibles au POI FEDER Massif Central, POI FEDER Loire ;</w:t>
            </w:r>
          </w:p>
          <w:p w:rsidR="0092631B" w:rsidRDefault="0092631B" w:rsidP="00401DB2">
            <w:pPr>
              <w:tabs>
                <w:tab w:val="left" w:pos="6756"/>
              </w:tabs>
              <w:spacing w:after="120" w:line="240" w:lineRule="auto"/>
              <w:jc w:val="both"/>
            </w:pPr>
            <w:r>
              <w:rPr>
                <w:rFonts w:ascii="Arial" w:hAnsi="Arial" w:cs="Arial"/>
                <w:sz w:val="20"/>
                <w:szCs w:val="20"/>
              </w:rPr>
              <w:t>- Sont exclues les opérations éligibles au PO FEDER-FSE.</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before="120" w:after="120" w:line="240" w:lineRule="auto"/>
            </w:pPr>
            <w:r>
              <w:rPr>
                <w:rFonts w:ascii="Arial" w:hAnsi="Arial" w:cs="Arial"/>
                <w:b/>
                <w:sz w:val="20"/>
                <w:szCs w:val="20"/>
              </w:rPr>
              <w:t>b) Suivi</w:t>
            </w:r>
          </w:p>
        </w:tc>
      </w:tr>
      <w:tr w:rsidR="0092631B" w:rsidTr="00401DB2">
        <w:tblPrEx>
          <w:tblCellMar>
            <w:top w:w="57" w:type="dxa"/>
            <w:bottom w:w="57" w:type="dxa"/>
          </w:tblCellMar>
        </w:tblPrEx>
        <w:tc>
          <w:tcPr>
            <w:tcW w:w="9436" w:type="dxa"/>
            <w:gridSpan w:val="3"/>
            <w:tcBorders>
              <w:top w:val="single" w:sz="4" w:space="0" w:color="000000"/>
              <w:left w:val="single" w:sz="4" w:space="0" w:color="000000"/>
              <w:bottom w:val="single" w:sz="4" w:space="0" w:color="000000"/>
              <w:right w:val="single" w:sz="4" w:space="0" w:color="000000"/>
            </w:tcBorders>
            <w:shd w:val="clear" w:color="auto" w:fill="auto"/>
          </w:tcPr>
          <w:p w:rsidR="0092631B" w:rsidRDefault="0092631B" w:rsidP="00401DB2">
            <w:pPr>
              <w:tabs>
                <w:tab w:val="left" w:pos="6756"/>
              </w:tabs>
              <w:spacing w:after="120" w:line="240" w:lineRule="auto"/>
              <w:rPr>
                <w:rFonts w:ascii="Arial" w:hAnsi="Arial" w:cs="Arial"/>
                <w:sz w:val="20"/>
                <w:szCs w:val="20"/>
                <w:shd w:val="clear" w:color="auto" w:fill="FFFF00"/>
              </w:rPr>
            </w:pPr>
            <w:r w:rsidRPr="00D7640F">
              <w:rPr>
                <w:rFonts w:ascii="Arial" w:hAnsi="Arial" w:cs="Arial"/>
                <w:b/>
                <w:sz w:val="20"/>
                <w:szCs w:val="20"/>
              </w:rPr>
              <w:t>Indicateurs</w:t>
            </w:r>
            <w:r>
              <w:rPr>
                <w:rFonts w:ascii="Arial" w:hAnsi="Arial" w:cs="Arial"/>
                <w:sz w:val="20"/>
                <w:szCs w:val="20"/>
              </w:rPr>
              <w:t xml:space="preserve"> : </w:t>
            </w:r>
          </w:p>
          <w:p w:rsidR="0092631B" w:rsidRDefault="0092631B" w:rsidP="00401DB2">
            <w:pPr>
              <w:tabs>
                <w:tab w:val="left" w:pos="6756"/>
              </w:tabs>
              <w:spacing w:after="120" w:line="240" w:lineRule="auto"/>
              <w:rPr>
                <w:rFonts w:ascii="Arial" w:hAnsi="Arial" w:cs="Arial"/>
                <w:sz w:val="20"/>
                <w:szCs w:val="20"/>
                <w:shd w:val="clear" w:color="auto" w:fill="FFFF00"/>
              </w:rPr>
            </w:pPr>
          </w:p>
          <w:tbl>
            <w:tblPr>
              <w:tblpPr w:leftFromText="141" w:rightFromText="141" w:vertAnchor="text" w:horzAnchor="margin"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9"/>
              <w:gridCol w:w="5040"/>
              <w:gridCol w:w="1585"/>
            </w:tblGrid>
            <w:tr w:rsidR="0092631B" w:rsidRPr="00D7640F" w:rsidTr="00401DB2">
              <w:tc>
                <w:tcPr>
                  <w:tcW w:w="2119" w:type="dxa"/>
                  <w:tcBorders>
                    <w:top w:val="single" w:sz="4" w:space="0" w:color="auto"/>
                    <w:left w:val="single" w:sz="4" w:space="0" w:color="auto"/>
                    <w:bottom w:val="single" w:sz="4" w:space="0" w:color="auto"/>
                    <w:right w:val="single" w:sz="4" w:space="0" w:color="auto"/>
                  </w:tcBorders>
                  <w:vAlign w:val="center"/>
                </w:tcPr>
                <w:p w:rsidR="0092631B" w:rsidRPr="00D7640F" w:rsidRDefault="0092631B" w:rsidP="00401DB2">
                  <w:pPr>
                    <w:tabs>
                      <w:tab w:val="left" w:pos="6756"/>
                    </w:tabs>
                    <w:jc w:val="center"/>
                    <w:rPr>
                      <w:rFonts w:ascii="Arial" w:hAnsi="Arial"/>
                      <w:b/>
                      <w:smallCaps/>
                      <w:sz w:val="20"/>
                    </w:rPr>
                  </w:pPr>
                  <w:r w:rsidRPr="00D7640F">
                    <w:rPr>
                      <w:rFonts w:ascii="Arial" w:hAnsi="Arial"/>
                      <w:b/>
                      <w:smallCaps/>
                      <w:sz w:val="20"/>
                    </w:rPr>
                    <w:lastRenderedPageBreak/>
                    <w:t>Type d’indicateurs</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Pr="00D7640F" w:rsidRDefault="0092631B" w:rsidP="00401DB2">
                  <w:pPr>
                    <w:tabs>
                      <w:tab w:val="left" w:pos="6756"/>
                    </w:tabs>
                    <w:jc w:val="center"/>
                    <w:rPr>
                      <w:rFonts w:ascii="Arial" w:hAnsi="Arial"/>
                      <w:b/>
                      <w:smallCaps/>
                      <w:sz w:val="20"/>
                    </w:rPr>
                  </w:pPr>
                  <w:r w:rsidRPr="00D7640F">
                    <w:rPr>
                      <w:rFonts w:ascii="Arial" w:hAnsi="Arial"/>
                      <w:b/>
                      <w:smallCaps/>
                      <w:sz w:val="20"/>
                    </w:rPr>
                    <w:t>Indicateurs</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Pr="00D7640F" w:rsidRDefault="0092631B" w:rsidP="00401DB2">
                  <w:pPr>
                    <w:tabs>
                      <w:tab w:val="left" w:pos="6756"/>
                    </w:tabs>
                    <w:jc w:val="center"/>
                    <w:rPr>
                      <w:rFonts w:ascii="Arial" w:hAnsi="Arial"/>
                      <w:b/>
                      <w:smallCaps/>
                      <w:sz w:val="20"/>
                    </w:rPr>
                  </w:pPr>
                  <w:r w:rsidRPr="00D7640F">
                    <w:rPr>
                      <w:rFonts w:ascii="Arial" w:hAnsi="Arial"/>
                      <w:b/>
                      <w:smallCaps/>
                      <w:sz w:val="20"/>
                    </w:rPr>
                    <w:t>Cible</w:t>
                  </w:r>
                </w:p>
              </w:tc>
            </w:tr>
            <w:tr w:rsidR="0092631B" w:rsidTr="00401DB2">
              <w:tc>
                <w:tcPr>
                  <w:tcW w:w="2119"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sidRPr="00125554">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 dossiers déposés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r w:rsidR="0092631B" w:rsidTr="00401DB2">
              <w:tc>
                <w:tcPr>
                  <w:tcW w:w="2119"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rPr>
                      <w:rFonts w:cs="Times New Roman"/>
                    </w:rPr>
                  </w:pPr>
                  <w:r w:rsidRPr="00125554">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 dossiers programmés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r w:rsidR="0092631B" w:rsidTr="00401DB2">
              <w:tc>
                <w:tcPr>
                  <w:tcW w:w="2119" w:type="dxa"/>
                  <w:tcBorders>
                    <w:top w:val="single" w:sz="4" w:space="0" w:color="auto"/>
                    <w:left w:val="single" w:sz="4" w:space="0" w:color="auto"/>
                    <w:bottom w:val="single" w:sz="4" w:space="0" w:color="auto"/>
                    <w:right w:val="single" w:sz="4" w:space="0" w:color="auto"/>
                  </w:tcBorders>
                </w:tcPr>
                <w:p w:rsidR="0092631B" w:rsidRDefault="0092631B" w:rsidP="00401DB2">
                  <w:pPr>
                    <w:rPr>
                      <w:rFonts w:ascii="Arial" w:hAnsi="Arial"/>
                      <w:sz w:val="20"/>
                    </w:rPr>
                  </w:pPr>
                  <w:r w:rsidRPr="000C3B13">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 dossiers soldés par type de projet (investissements matériels / investissements immatériels / fonctionnement)</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r w:rsidR="0092631B" w:rsidTr="00401DB2">
              <w:tc>
                <w:tcPr>
                  <w:tcW w:w="2119" w:type="dxa"/>
                  <w:tcBorders>
                    <w:top w:val="single" w:sz="4" w:space="0" w:color="auto"/>
                    <w:left w:val="single" w:sz="4" w:space="0" w:color="auto"/>
                    <w:bottom w:val="single" w:sz="4" w:space="0" w:color="auto"/>
                    <w:right w:val="single" w:sz="4" w:space="0" w:color="auto"/>
                  </w:tcBorders>
                </w:tcPr>
                <w:p w:rsidR="0092631B" w:rsidRDefault="0092631B" w:rsidP="00401DB2">
                  <w:pPr>
                    <w:rPr>
                      <w:rFonts w:ascii="Arial" w:hAnsi="Arial"/>
                      <w:sz w:val="20"/>
                    </w:rPr>
                  </w:pPr>
                  <w:r w:rsidRPr="000C3B13">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 dossiers déposés par type de porteur de projet (association, structure porteuse du GAL, PME, personne morale de droit public, autres)</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r w:rsidR="0092631B" w:rsidTr="00401DB2">
              <w:tc>
                <w:tcPr>
                  <w:tcW w:w="2119" w:type="dxa"/>
                  <w:tcBorders>
                    <w:top w:val="single" w:sz="4" w:space="0" w:color="auto"/>
                    <w:left w:val="single" w:sz="4" w:space="0" w:color="auto"/>
                    <w:bottom w:val="single" w:sz="4" w:space="0" w:color="auto"/>
                    <w:right w:val="single" w:sz="4" w:space="0" w:color="auto"/>
                  </w:tcBorders>
                </w:tcPr>
                <w:p w:rsidR="0092631B" w:rsidRDefault="0092631B" w:rsidP="00401DB2">
                  <w:pPr>
                    <w:rPr>
                      <w:rFonts w:ascii="Arial" w:hAnsi="Arial"/>
                      <w:sz w:val="20"/>
                    </w:rPr>
                  </w:pPr>
                  <w:r w:rsidRPr="00AE5906">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 dossiers programmés par type de porteur de projet (association, structure porteuse du GAL, PME, personne morale de droit public, autres)</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r w:rsidR="0092631B" w:rsidTr="00401DB2">
              <w:tc>
                <w:tcPr>
                  <w:tcW w:w="2119" w:type="dxa"/>
                  <w:tcBorders>
                    <w:top w:val="single" w:sz="4" w:space="0" w:color="auto"/>
                    <w:left w:val="single" w:sz="4" w:space="0" w:color="auto"/>
                    <w:bottom w:val="single" w:sz="4" w:space="0" w:color="auto"/>
                    <w:right w:val="single" w:sz="4" w:space="0" w:color="auto"/>
                  </w:tcBorders>
                </w:tcPr>
                <w:p w:rsidR="0092631B" w:rsidRDefault="0092631B" w:rsidP="00401DB2">
                  <w:pPr>
                    <w:rPr>
                      <w:rFonts w:ascii="Arial" w:hAnsi="Arial"/>
                      <w:sz w:val="20"/>
                    </w:rPr>
                  </w:pPr>
                  <w:r w:rsidRPr="00AE5906">
                    <w:rPr>
                      <w:rFonts w:ascii="Arial" w:hAnsi="Arial"/>
                      <w:sz w:val="20"/>
                    </w:rPr>
                    <w:t>Réalisation</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 dossiers soldés par type de porteur de projet (association, structure porteuse du GAL, PME, personne morale de droit public, autres)</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r w:rsidR="0092631B" w:rsidTr="00401DB2">
              <w:tc>
                <w:tcPr>
                  <w:tcW w:w="2119" w:type="dxa"/>
                  <w:tcBorders>
                    <w:top w:val="single" w:sz="4" w:space="0" w:color="auto"/>
                    <w:left w:val="single" w:sz="4" w:space="0" w:color="auto"/>
                    <w:bottom w:val="single" w:sz="4" w:space="0" w:color="auto"/>
                    <w:right w:val="single" w:sz="4" w:space="0" w:color="auto"/>
                  </w:tcBorders>
                </w:tcPr>
                <w:p w:rsidR="0092631B" w:rsidRDefault="0092631B" w:rsidP="00401DB2">
                  <w:pPr>
                    <w:rPr>
                      <w:rFonts w:ascii="Arial" w:hAnsi="Arial"/>
                      <w:sz w:val="20"/>
                    </w:rPr>
                  </w:pPr>
                  <w:r w:rsidRPr="00125554">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d’emplois créés (ETP à partir des contrats d’une durée supérieure ou égale à un an)</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r w:rsidR="0092631B" w:rsidTr="00401DB2">
              <w:tc>
                <w:tcPr>
                  <w:tcW w:w="2119" w:type="dxa"/>
                  <w:tcBorders>
                    <w:top w:val="single" w:sz="4" w:space="0" w:color="auto"/>
                    <w:left w:val="single" w:sz="4" w:space="0" w:color="auto"/>
                    <w:bottom w:val="single" w:sz="4" w:space="0" w:color="auto"/>
                    <w:right w:val="single" w:sz="4" w:space="0" w:color="auto"/>
                  </w:tcBorders>
                </w:tcPr>
                <w:p w:rsidR="0092631B" w:rsidRDefault="0092631B" w:rsidP="00401DB2">
                  <w:pPr>
                    <w:rPr>
                      <w:rFonts w:ascii="Arial" w:hAnsi="Arial"/>
                      <w:sz w:val="20"/>
                    </w:rPr>
                  </w:pPr>
                  <w:r w:rsidRPr="00125554">
                    <w:rPr>
                      <w:rFonts w:ascii="Arial" w:hAnsi="Arial"/>
                      <w:sz w:val="20"/>
                    </w:rPr>
                    <w:t>Résultats</w:t>
                  </w:r>
                </w:p>
              </w:tc>
              <w:tc>
                <w:tcPr>
                  <w:tcW w:w="5040"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r>
                    <w:rPr>
                      <w:rFonts w:ascii="Arial" w:hAnsi="Arial"/>
                      <w:sz w:val="20"/>
                    </w:rPr>
                    <w:t>Nombre d’emplois maintenus (ETP)</w:t>
                  </w:r>
                </w:p>
              </w:tc>
              <w:tc>
                <w:tcPr>
                  <w:tcW w:w="1585" w:type="dxa"/>
                  <w:tcBorders>
                    <w:top w:val="single" w:sz="4" w:space="0" w:color="auto"/>
                    <w:left w:val="single" w:sz="4" w:space="0" w:color="auto"/>
                    <w:bottom w:val="single" w:sz="4" w:space="0" w:color="auto"/>
                    <w:right w:val="single" w:sz="4" w:space="0" w:color="auto"/>
                  </w:tcBorders>
                  <w:vAlign w:val="center"/>
                </w:tcPr>
                <w:p w:rsidR="0092631B" w:rsidRDefault="0092631B" w:rsidP="00401DB2">
                  <w:pPr>
                    <w:tabs>
                      <w:tab w:val="left" w:pos="6756"/>
                    </w:tabs>
                    <w:rPr>
                      <w:rFonts w:ascii="Arial" w:hAnsi="Arial"/>
                      <w:sz w:val="20"/>
                    </w:rPr>
                  </w:pPr>
                </w:p>
              </w:tc>
            </w:tr>
          </w:tbl>
          <w:p w:rsidR="0092631B" w:rsidRDefault="0092631B" w:rsidP="00401DB2"/>
        </w:tc>
      </w:tr>
    </w:tbl>
    <w:p w:rsidR="0092631B" w:rsidRDefault="0092631B" w:rsidP="0092631B"/>
    <w:p w:rsidR="00130DAC" w:rsidRDefault="00130DAC">
      <w:bookmarkStart w:id="0" w:name="_GoBack"/>
      <w:bookmarkEnd w:id="0"/>
    </w:p>
    <w:sectPr w:rsidR="00130DAC" w:rsidSect="00456713">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567" w:footer="624"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13" w:rsidRDefault="009263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13" w:rsidRDefault="0092631B" w:rsidP="00456713">
    <w:pPr>
      <w:pStyle w:val="Pieddepage"/>
      <w:tabs>
        <w:tab w:val="clear" w:pos="4536"/>
        <w:tab w:val="clear" w:pos="9072"/>
        <w:tab w:val="center" w:pos="4820"/>
        <w:tab w:val="right" w:pos="9356"/>
      </w:tabs>
      <w:rPr>
        <w:rStyle w:val="Numrodepage"/>
        <w:snapToGrid w:val="0"/>
        <w:sz w:val="18"/>
        <w:szCs w:val="18"/>
        <w:lang w:eastAsia="fr-FR"/>
      </w:rPr>
    </w:pPr>
    <w:r w:rsidRPr="00A90F34">
      <w:rPr>
        <w:rStyle w:val="Numrodepage"/>
        <w:sz w:val="18"/>
        <w:szCs w:val="18"/>
      </w:rPr>
      <w:t>Convention du GAL pays de Guéret – Version finale du 27/06/2016</w:t>
    </w:r>
    <w:r>
      <w:rPr>
        <w:rStyle w:val="Numrodepage"/>
        <w:sz w:val="18"/>
        <w:szCs w:val="18"/>
      </w:rPr>
      <w:t xml:space="preserve">                </w:t>
    </w:r>
    <w:r w:rsidRPr="00A90F34">
      <w:rPr>
        <w:rStyle w:val="Numrodepage"/>
        <w:sz w:val="18"/>
        <w:szCs w:val="18"/>
      </w:rPr>
      <w:t>LEADER</w:t>
    </w:r>
    <w:r>
      <w:rPr>
        <w:rStyle w:val="Numrodepage"/>
        <w:sz w:val="18"/>
        <w:szCs w:val="18"/>
      </w:rPr>
      <w:t xml:space="preserve"> 2014-2020</w:t>
    </w:r>
    <w:r>
      <w:rPr>
        <w:rStyle w:val="Numrodepage"/>
        <w:sz w:val="18"/>
        <w:szCs w:val="18"/>
      </w:rPr>
      <w:tab/>
    </w:r>
    <w:r w:rsidRPr="00A90F34">
      <w:rPr>
        <w:rStyle w:val="Numrodepage"/>
        <w:snapToGrid w:val="0"/>
        <w:sz w:val="18"/>
        <w:szCs w:val="18"/>
        <w:lang w:eastAsia="fr-FR"/>
      </w:rPr>
      <w:fldChar w:fldCharType="begin"/>
    </w:r>
    <w:r w:rsidRPr="00A90F34">
      <w:rPr>
        <w:rStyle w:val="Numrodepage"/>
        <w:snapToGrid w:val="0"/>
        <w:sz w:val="18"/>
        <w:szCs w:val="18"/>
        <w:lang w:eastAsia="fr-FR"/>
      </w:rPr>
      <w:instrText xml:space="preserve"> PAGE </w:instrText>
    </w:r>
    <w:r w:rsidRPr="00A90F34">
      <w:rPr>
        <w:rStyle w:val="Numrodepage"/>
        <w:snapToGrid w:val="0"/>
        <w:sz w:val="18"/>
        <w:szCs w:val="18"/>
        <w:lang w:eastAsia="fr-FR"/>
      </w:rPr>
      <w:fldChar w:fldCharType="separate"/>
    </w:r>
    <w:r>
      <w:rPr>
        <w:rStyle w:val="Numrodepage"/>
        <w:noProof/>
        <w:snapToGrid w:val="0"/>
        <w:sz w:val="18"/>
        <w:szCs w:val="18"/>
        <w:lang w:eastAsia="fr-FR"/>
      </w:rPr>
      <w:t>6</w:t>
    </w:r>
    <w:r w:rsidRPr="00A90F34">
      <w:rPr>
        <w:rStyle w:val="Numrodepage"/>
        <w:snapToGrid w:val="0"/>
        <w:sz w:val="18"/>
        <w:szCs w:val="18"/>
        <w:lang w:eastAsia="fr-FR"/>
      </w:rPr>
      <w:fldChar w:fldCharType="end"/>
    </w:r>
    <w:r w:rsidRPr="00A90F34">
      <w:rPr>
        <w:rStyle w:val="Numrodepage"/>
        <w:snapToGrid w:val="0"/>
        <w:sz w:val="18"/>
        <w:szCs w:val="18"/>
        <w:lang w:eastAsia="fr-FR"/>
      </w:rPr>
      <w:t xml:space="preserve"> </w:t>
    </w:r>
    <w:r>
      <w:rPr>
        <w:rStyle w:val="Numrodepage"/>
        <w:snapToGrid w:val="0"/>
        <w:sz w:val="18"/>
        <w:szCs w:val="18"/>
        <w:lang w:eastAsia="fr-FR"/>
      </w:rPr>
      <w:t>/ 45</w:t>
    </w:r>
  </w:p>
  <w:p w:rsidR="00456713" w:rsidRPr="00A90F34" w:rsidRDefault="0092631B" w:rsidP="00456713">
    <w:pPr>
      <w:pStyle w:val="Pieddepage"/>
      <w:tabs>
        <w:tab w:val="clear" w:pos="4536"/>
        <w:tab w:val="clear" w:pos="9072"/>
        <w:tab w:val="center" w:pos="4820"/>
        <w:tab w:val="right" w:pos="9356"/>
      </w:tabs>
      <w:rPr>
        <w:sz w:val="18"/>
        <w:szCs w:val="18"/>
      </w:rPr>
    </w:pPr>
  </w:p>
  <w:p w:rsidR="00C94D63" w:rsidRPr="00456713" w:rsidRDefault="0092631B" w:rsidP="0045671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13" w:rsidRDefault="0092631B">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13" w:rsidRDefault="0092631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9D" w:rsidRDefault="0092631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713" w:rsidRDefault="009263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720"/>
        </w:tabs>
        <w:ind w:left="720" w:hanging="360"/>
      </w:pPr>
      <w:rPr>
        <w:rFonts w:ascii="Symbol" w:hAnsi="Symbol" w:cs="Symbol" w:hint="default"/>
      </w:rPr>
    </w:lvl>
  </w:abstractNum>
  <w:abstractNum w:abstractNumId="1">
    <w:nsid w:val="00000007"/>
    <w:multiLevelType w:val="singleLevel"/>
    <w:tmpl w:val="00000007"/>
    <w:name w:val="WW8Num8"/>
    <w:lvl w:ilvl="0">
      <w:start w:val="1"/>
      <w:numFmt w:val="bullet"/>
      <w:lvlText w:val=""/>
      <w:lvlJc w:val="left"/>
      <w:pPr>
        <w:tabs>
          <w:tab w:val="num" w:pos="720"/>
        </w:tabs>
        <w:ind w:left="720" w:hanging="360"/>
      </w:pPr>
      <w:rPr>
        <w:rFonts w:ascii="Symbol" w:hAnsi="Symbol" w:cs="Arial" w:hint="default"/>
      </w:rPr>
    </w:lvl>
  </w:abstractNum>
  <w:abstractNum w:abstractNumId="2">
    <w:nsid w:val="00000009"/>
    <w:multiLevelType w:val="singleLevel"/>
    <w:tmpl w:val="096E05C8"/>
    <w:name w:val="WW8Num10"/>
    <w:lvl w:ilvl="0">
      <w:start w:val="1"/>
      <w:numFmt w:val="bullet"/>
      <w:lvlText w:val=""/>
      <w:lvlJc w:val="left"/>
      <w:pPr>
        <w:tabs>
          <w:tab w:val="num" w:pos="720"/>
        </w:tabs>
        <w:ind w:left="720" w:hanging="360"/>
      </w:pPr>
      <w:rPr>
        <w:rFonts w:ascii="Symbol" w:hAnsi="Symbol" w:cs="Wingdings" w:hint="default"/>
        <w:color w:val="auto"/>
        <w:sz w:val="20"/>
        <w:szCs w:val="20"/>
      </w:rPr>
    </w:lvl>
  </w:abstractNum>
  <w:abstractNum w:abstractNumId="3">
    <w:nsid w:val="0000000A"/>
    <w:multiLevelType w:val="multilevel"/>
    <w:tmpl w:val="0000000A"/>
    <w:name w:val="WW8Num11"/>
    <w:lvl w:ilvl="0">
      <w:start w:val="1"/>
      <w:numFmt w:val="bullet"/>
      <w:pStyle w:val="Normalpucetableau"/>
      <w:lvlText w:val="-"/>
      <w:lvlJc w:val="left"/>
      <w:pPr>
        <w:tabs>
          <w:tab w:val="num" w:pos="502"/>
        </w:tabs>
        <w:ind w:left="502" w:hanging="360"/>
      </w:pPr>
      <w:rPr>
        <w:rFonts w:ascii="Verdana" w:hAnsi="Verdana" w:cs="Symbol" w:hint="default"/>
      </w:rPr>
    </w:lvl>
    <w:lvl w:ilvl="1">
      <w:start w:val="1"/>
      <w:numFmt w:val="lowerLetter"/>
      <w:lvlText w:val="%2)"/>
      <w:lvlJc w:val="left"/>
      <w:pPr>
        <w:tabs>
          <w:tab w:val="num" w:pos="862"/>
        </w:tabs>
        <w:ind w:left="862" w:hanging="360"/>
      </w:pPr>
      <w:rPr>
        <w:rFonts w:ascii="Courier New" w:hAnsi="Courier New" w:cs="Courier New" w:hint="default"/>
      </w:rPr>
    </w:lvl>
    <w:lvl w:ilvl="2">
      <w:start w:val="1"/>
      <w:numFmt w:val="lowerRoman"/>
      <w:lvlText w:val="%3)"/>
      <w:lvlJc w:val="left"/>
      <w:pPr>
        <w:tabs>
          <w:tab w:val="num" w:pos="1222"/>
        </w:tabs>
        <w:ind w:left="1222" w:hanging="360"/>
      </w:pPr>
      <w:rPr>
        <w:rFonts w:ascii="Wingdings" w:hAnsi="Wingdings" w:cs="Wingdings" w:hint="default"/>
      </w:r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4">
    <w:nsid w:val="111638E4"/>
    <w:multiLevelType w:val="hybridMultilevel"/>
    <w:tmpl w:val="70B8B124"/>
    <w:lvl w:ilvl="0" w:tplc="0000000F">
      <w:start w:val="3"/>
      <w:numFmt w:val="bullet"/>
      <w:lvlText w:val="-"/>
      <w:lvlJc w:val="left"/>
      <w:pPr>
        <w:tabs>
          <w:tab w:val="num" w:pos="720"/>
        </w:tabs>
        <w:ind w:left="1440" w:hanging="360"/>
      </w:pPr>
      <w:rPr>
        <w:rFonts w:ascii="Arial" w:hAnsi="Arial" w:cs="Symbol" w:hint="default"/>
        <w:sz w:val="20"/>
        <w:szCs w:val="20"/>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
    <w:nsid w:val="42E04BA1"/>
    <w:multiLevelType w:val="multilevel"/>
    <w:tmpl w:val="43BC1688"/>
    <w:lvl w:ilvl="0">
      <w:start w:val="3"/>
      <w:numFmt w:val="bullet"/>
      <w:lvlText w:val="-"/>
      <w:lvlJc w:val="left"/>
      <w:pPr>
        <w:tabs>
          <w:tab w:val="num" w:pos="360"/>
        </w:tabs>
        <w:ind w:left="360" w:hanging="360"/>
      </w:pPr>
      <w:rPr>
        <w:rFonts w:ascii="Arial" w:hAnsi="Arial" w:cs="Symbol" w:hint="default"/>
        <w:sz w:val="20"/>
        <w:szCs w:val="20"/>
      </w:rPr>
    </w:lvl>
    <w:lvl w:ilvl="1">
      <w:start w:val="1"/>
      <w:numFmt w:val="lowerLetter"/>
      <w:lvlText w:val="%2)"/>
      <w:lvlJc w:val="left"/>
      <w:pPr>
        <w:tabs>
          <w:tab w:val="num" w:pos="720"/>
        </w:tabs>
        <w:ind w:left="720" w:hanging="360"/>
      </w:pPr>
      <w:rPr>
        <w:rFonts w:ascii="Courier New" w:hAnsi="Courier New" w:cs="Courier New" w:hint="default"/>
      </w:rPr>
    </w:lvl>
    <w:lvl w:ilvl="2">
      <w:start w:val="1"/>
      <w:numFmt w:val="lowerRoman"/>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4204B50"/>
    <w:multiLevelType w:val="hybridMultilevel"/>
    <w:tmpl w:val="0E4A7C9E"/>
    <w:lvl w:ilvl="0" w:tplc="0000000F">
      <w:start w:val="3"/>
      <w:numFmt w:val="bullet"/>
      <w:lvlText w:val="-"/>
      <w:lvlJc w:val="left"/>
      <w:pPr>
        <w:ind w:left="1800" w:hanging="360"/>
      </w:pPr>
      <w:rPr>
        <w:rFonts w:ascii="Arial" w:hAnsi="Arial" w:cs="Symbol" w:hint="default"/>
        <w:sz w:val="20"/>
        <w:szCs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616E73DA"/>
    <w:multiLevelType w:val="hybridMultilevel"/>
    <w:tmpl w:val="9DB49E02"/>
    <w:lvl w:ilvl="0" w:tplc="0000000F">
      <w:start w:val="3"/>
      <w:numFmt w:val="bullet"/>
      <w:lvlText w:val="-"/>
      <w:lvlJc w:val="left"/>
      <w:pPr>
        <w:ind w:left="720" w:hanging="360"/>
      </w:pPr>
      <w:rPr>
        <w:rFonts w:ascii="Arial" w:hAnsi="Arial" w:cs="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3821A88"/>
    <w:multiLevelType w:val="hybridMultilevel"/>
    <w:tmpl w:val="20B8AC7E"/>
    <w:lvl w:ilvl="0" w:tplc="1A22CF36">
      <w:start w:val="1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44D7E33"/>
    <w:multiLevelType w:val="multilevel"/>
    <w:tmpl w:val="414A1926"/>
    <w:name w:val="WW8Num1322222222222222222"/>
    <w:lvl w:ilvl="0">
      <w:start w:val="1"/>
      <w:numFmt w:val="decimal"/>
      <w:lvlText w:val="%1-"/>
      <w:lvlJc w:val="left"/>
      <w:pPr>
        <w:tabs>
          <w:tab w:val="num" w:pos="360"/>
        </w:tabs>
        <w:ind w:left="360" w:hanging="360"/>
      </w:pPr>
      <w:rPr>
        <w:rFonts w:ascii="Arial" w:hAnsi="Arial" w:cs="Arial" w:hint="default"/>
        <w:b/>
        <w:sz w:val="20"/>
        <w:szCs w:val="20"/>
      </w:rPr>
    </w:lvl>
    <w:lvl w:ilvl="1">
      <w:start w:val="1"/>
      <w:numFmt w:val="lowerLetter"/>
      <w:lvlText w:val="%2)"/>
      <w:lvlJc w:val="left"/>
      <w:pPr>
        <w:tabs>
          <w:tab w:val="num" w:pos="720"/>
        </w:tabs>
        <w:ind w:left="720" w:hanging="360"/>
      </w:pPr>
      <w:rPr>
        <w:rFonts w:ascii="Arial" w:hAnsi="Arial" w:cs="Aria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FAE0E36"/>
    <w:multiLevelType w:val="hybridMultilevel"/>
    <w:tmpl w:val="C8EA6E4C"/>
    <w:lvl w:ilvl="0" w:tplc="0000000F">
      <w:start w:val="3"/>
      <w:numFmt w:val="bullet"/>
      <w:lvlText w:val="-"/>
      <w:lvlJc w:val="left"/>
      <w:pPr>
        <w:tabs>
          <w:tab w:val="num" w:pos="360"/>
        </w:tabs>
        <w:ind w:left="1080" w:hanging="360"/>
      </w:pPr>
      <w:rPr>
        <w:rFonts w:ascii="Arial" w:hAnsi="Arial" w:cs="Symbo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9"/>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1B"/>
    <w:rsid w:val="00130DAC"/>
    <w:rsid w:val="00926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1B"/>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quedecommentaire2">
    <w:name w:val="Marque de commentaire2"/>
    <w:rsid w:val="0092631B"/>
    <w:rPr>
      <w:sz w:val="16"/>
      <w:szCs w:val="16"/>
    </w:rPr>
  </w:style>
  <w:style w:type="paragraph" w:customStyle="1" w:styleId="Normalpucetableau">
    <w:name w:val="Normal puce tableau"/>
    <w:basedOn w:val="Normal"/>
    <w:uiPriority w:val="99"/>
    <w:rsid w:val="0092631B"/>
    <w:pPr>
      <w:numPr>
        <w:numId w:val="4"/>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92631B"/>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92631B"/>
    <w:pPr>
      <w:spacing w:before="280" w:after="119" w:line="240" w:lineRule="auto"/>
    </w:pPr>
    <w:rPr>
      <w:rFonts w:ascii="Arial Unicode MS" w:eastAsia="Arial Unicode MS" w:hAnsi="Arial Unicode MS" w:cs="Arial Unicode MS"/>
      <w:sz w:val="18"/>
      <w:szCs w:val="24"/>
    </w:rPr>
  </w:style>
  <w:style w:type="character" w:customStyle="1" w:styleId="Heading2Char">
    <w:name w:val="Heading 2 Char"/>
    <w:rsid w:val="0092631B"/>
    <w:rPr>
      <w:rFonts w:ascii="Cambria" w:eastAsia="Calibri" w:hAnsi="Cambria" w:cs="Cambria"/>
      <w:b/>
      <w:bCs/>
      <w:color w:val="4F81BD"/>
      <w:sz w:val="26"/>
      <w:szCs w:val="26"/>
      <w:lang w:val="fr-FR" w:eastAsia="ar-SA" w:bidi="ar-SA"/>
    </w:rPr>
  </w:style>
  <w:style w:type="character" w:customStyle="1" w:styleId="Heading1Char">
    <w:name w:val="Heading 1 Char"/>
    <w:rsid w:val="0092631B"/>
    <w:rPr>
      <w:rFonts w:ascii="Cambria" w:eastAsia="Calibri" w:hAnsi="Cambria" w:cs="Cambria"/>
      <w:b/>
      <w:bCs/>
      <w:color w:val="365F91"/>
      <w:sz w:val="28"/>
      <w:szCs w:val="28"/>
      <w:lang w:val="fr-FR" w:eastAsia="ar-SA" w:bidi="ar-SA"/>
    </w:rPr>
  </w:style>
  <w:style w:type="paragraph" w:styleId="En-tte">
    <w:name w:val="header"/>
    <w:basedOn w:val="Normal"/>
    <w:link w:val="En-tteCar"/>
    <w:uiPriority w:val="99"/>
    <w:rsid w:val="0092631B"/>
    <w:pPr>
      <w:tabs>
        <w:tab w:val="center" w:pos="4536"/>
        <w:tab w:val="right" w:pos="9072"/>
      </w:tabs>
    </w:pPr>
  </w:style>
  <w:style w:type="character" w:customStyle="1" w:styleId="En-tteCar">
    <w:name w:val="En-tête Car"/>
    <w:basedOn w:val="Policepardfaut"/>
    <w:link w:val="En-tte"/>
    <w:uiPriority w:val="99"/>
    <w:rsid w:val="0092631B"/>
    <w:rPr>
      <w:rFonts w:ascii="Calibri" w:eastAsia="Times New Roman" w:hAnsi="Calibri" w:cs="Calibri"/>
      <w:lang w:eastAsia="ar-SA"/>
    </w:rPr>
  </w:style>
  <w:style w:type="paragraph" w:styleId="Pieddepage">
    <w:name w:val="footer"/>
    <w:basedOn w:val="Normal"/>
    <w:link w:val="PieddepageCar"/>
    <w:rsid w:val="0092631B"/>
    <w:pPr>
      <w:tabs>
        <w:tab w:val="center" w:pos="4536"/>
        <w:tab w:val="right" w:pos="9072"/>
      </w:tabs>
    </w:pPr>
  </w:style>
  <w:style w:type="character" w:customStyle="1" w:styleId="PieddepageCar">
    <w:name w:val="Pied de page Car"/>
    <w:basedOn w:val="Policepardfaut"/>
    <w:link w:val="Pieddepage"/>
    <w:rsid w:val="0092631B"/>
    <w:rPr>
      <w:rFonts w:ascii="Calibri" w:eastAsia="Times New Roman" w:hAnsi="Calibri" w:cs="Calibri"/>
      <w:lang w:eastAsia="ar-SA"/>
    </w:rPr>
  </w:style>
  <w:style w:type="character" w:styleId="Numrodepage">
    <w:name w:val="page number"/>
    <w:basedOn w:val="Policepardfaut"/>
    <w:rsid w:val="00926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1B"/>
    <w:pPr>
      <w:suppressAutoHyphens/>
    </w:pPr>
    <w:rPr>
      <w:rFonts w:ascii="Calibri" w:eastAsia="Times New Roman"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quedecommentaire2">
    <w:name w:val="Marque de commentaire2"/>
    <w:rsid w:val="0092631B"/>
    <w:rPr>
      <w:sz w:val="16"/>
      <w:szCs w:val="16"/>
    </w:rPr>
  </w:style>
  <w:style w:type="paragraph" w:customStyle="1" w:styleId="Normalpucetableau">
    <w:name w:val="Normal puce tableau"/>
    <w:basedOn w:val="Normal"/>
    <w:uiPriority w:val="99"/>
    <w:rsid w:val="0092631B"/>
    <w:pPr>
      <w:numPr>
        <w:numId w:val="4"/>
      </w:numPr>
      <w:tabs>
        <w:tab w:val="left" w:pos="284"/>
      </w:tabs>
      <w:overflowPunct w:val="0"/>
      <w:autoSpaceDE w:val="0"/>
      <w:spacing w:before="60" w:after="60" w:line="240" w:lineRule="auto"/>
      <w:textAlignment w:val="baseline"/>
    </w:pPr>
    <w:rPr>
      <w:rFonts w:ascii="Verdana" w:hAnsi="Verdana" w:cs="Verdana"/>
      <w:sz w:val="18"/>
      <w:szCs w:val="20"/>
    </w:rPr>
  </w:style>
  <w:style w:type="paragraph" w:customStyle="1" w:styleId="Normalgauche">
    <w:name w:val="Normal gauche"/>
    <w:basedOn w:val="Normal"/>
    <w:rsid w:val="0092631B"/>
    <w:pPr>
      <w:overflowPunct w:val="0"/>
      <w:autoSpaceDE w:val="0"/>
      <w:spacing w:after="0" w:line="240" w:lineRule="auto"/>
      <w:textAlignment w:val="baseline"/>
    </w:pPr>
    <w:rPr>
      <w:rFonts w:ascii="Verdana" w:hAnsi="Verdana" w:cs="Arial"/>
      <w:sz w:val="18"/>
      <w:szCs w:val="20"/>
    </w:rPr>
  </w:style>
  <w:style w:type="paragraph" w:styleId="NormalWeb">
    <w:name w:val="Normal (Web)"/>
    <w:basedOn w:val="Normal"/>
    <w:rsid w:val="0092631B"/>
    <w:pPr>
      <w:spacing w:before="280" w:after="119" w:line="240" w:lineRule="auto"/>
    </w:pPr>
    <w:rPr>
      <w:rFonts w:ascii="Arial Unicode MS" w:eastAsia="Arial Unicode MS" w:hAnsi="Arial Unicode MS" w:cs="Arial Unicode MS"/>
      <w:sz w:val="18"/>
      <w:szCs w:val="24"/>
    </w:rPr>
  </w:style>
  <w:style w:type="character" w:customStyle="1" w:styleId="Heading2Char">
    <w:name w:val="Heading 2 Char"/>
    <w:rsid w:val="0092631B"/>
    <w:rPr>
      <w:rFonts w:ascii="Cambria" w:eastAsia="Calibri" w:hAnsi="Cambria" w:cs="Cambria"/>
      <w:b/>
      <w:bCs/>
      <w:color w:val="4F81BD"/>
      <w:sz w:val="26"/>
      <w:szCs w:val="26"/>
      <w:lang w:val="fr-FR" w:eastAsia="ar-SA" w:bidi="ar-SA"/>
    </w:rPr>
  </w:style>
  <w:style w:type="character" w:customStyle="1" w:styleId="Heading1Char">
    <w:name w:val="Heading 1 Char"/>
    <w:rsid w:val="0092631B"/>
    <w:rPr>
      <w:rFonts w:ascii="Cambria" w:eastAsia="Calibri" w:hAnsi="Cambria" w:cs="Cambria"/>
      <w:b/>
      <w:bCs/>
      <w:color w:val="365F91"/>
      <w:sz w:val="28"/>
      <w:szCs w:val="28"/>
      <w:lang w:val="fr-FR" w:eastAsia="ar-SA" w:bidi="ar-SA"/>
    </w:rPr>
  </w:style>
  <w:style w:type="paragraph" w:styleId="En-tte">
    <w:name w:val="header"/>
    <w:basedOn w:val="Normal"/>
    <w:link w:val="En-tteCar"/>
    <w:uiPriority w:val="99"/>
    <w:rsid w:val="0092631B"/>
    <w:pPr>
      <w:tabs>
        <w:tab w:val="center" w:pos="4536"/>
        <w:tab w:val="right" w:pos="9072"/>
      </w:tabs>
    </w:pPr>
  </w:style>
  <w:style w:type="character" w:customStyle="1" w:styleId="En-tteCar">
    <w:name w:val="En-tête Car"/>
    <w:basedOn w:val="Policepardfaut"/>
    <w:link w:val="En-tte"/>
    <w:uiPriority w:val="99"/>
    <w:rsid w:val="0092631B"/>
    <w:rPr>
      <w:rFonts w:ascii="Calibri" w:eastAsia="Times New Roman" w:hAnsi="Calibri" w:cs="Calibri"/>
      <w:lang w:eastAsia="ar-SA"/>
    </w:rPr>
  </w:style>
  <w:style w:type="paragraph" w:styleId="Pieddepage">
    <w:name w:val="footer"/>
    <w:basedOn w:val="Normal"/>
    <w:link w:val="PieddepageCar"/>
    <w:rsid w:val="0092631B"/>
    <w:pPr>
      <w:tabs>
        <w:tab w:val="center" w:pos="4536"/>
        <w:tab w:val="right" w:pos="9072"/>
      </w:tabs>
    </w:pPr>
  </w:style>
  <w:style w:type="character" w:customStyle="1" w:styleId="PieddepageCar">
    <w:name w:val="Pied de page Car"/>
    <w:basedOn w:val="Policepardfaut"/>
    <w:link w:val="Pieddepage"/>
    <w:rsid w:val="0092631B"/>
    <w:rPr>
      <w:rFonts w:ascii="Calibri" w:eastAsia="Times New Roman" w:hAnsi="Calibri" w:cs="Calibri"/>
      <w:lang w:eastAsia="ar-SA"/>
    </w:rPr>
  </w:style>
  <w:style w:type="character" w:styleId="Numrodepage">
    <w:name w:val="page number"/>
    <w:basedOn w:val="Policepardfaut"/>
    <w:rsid w:val="0092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10077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RAGUENE Laure</dc:creator>
  <cp:lastModifiedBy>RAGUENE Laure</cp:lastModifiedBy>
  <cp:revision>1</cp:revision>
  <dcterms:created xsi:type="dcterms:W3CDTF">2016-10-11T09:41:00Z</dcterms:created>
  <dcterms:modified xsi:type="dcterms:W3CDTF">2016-10-11T09:41:00Z</dcterms:modified>
</cp:coreProperties>
</file>