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FE" w:rsidRDefault="00684CFE" w:rsidP="00684CFE"/>
    <w:tbl>
      <w:tblPr>
        <w:tblW w:w="9376" w:type="dxa"/>
        <w:tblInd w:w="-45" w:type="dxa"/>
        <w:tblLayout w:type="fixed"/>
        <w:tblLook w:val="0000" w:firstRow="0" w:lastRow="0" w:firstColumn="0" w:lastColumn="0" w:noHBand="0" w:noVBand="0"/>
      </w:tblPr>
      <w:tblGrid>
        <w:gridCol w:w="1561"/>
        <w:gridCol w:w="777"/>
        <w:gridCol w:w="7038"/>
        <w:tblGridChange w:id="0">
          <w:tblGrid>
            <w:gridCol w:w="1561"/>
            <w:gridCol w:w="777"/>
            <w:gridCol w:w="7038"/>
          </w:tblGrid>
        </w:tblGridChange>
      </w:tblGrid>
      <w:tr w:rsidR="00684CFE" w:rsidTr="00401DB2">
        <w:tc>
          <w:tcPr>
            <w:tcW w:w="1561" w:type="dxa"/>
            <w:tcBorders>
              <w:top w:val="single" w:sz="4" w:space="0" w:color="000000"/>
              <w:left w:val="single" w:sz="4" w:space="0" w:color="000000"/>
              <w:bottom w:val="single" w:sz="4" w:space="0" w:color="000000"/>
            </w:tcBorders>
            <w:shd w:val="clear" w:color="auto" w:fill="CCFFFF"/>
          </w:tcPr>
          <w:p w:rsidR="00684CFE" w:rsidRDefault="00684CFE" w:rsidP="00401DB2">
            <w:pPr>
              <w:tabs>
                <w:tab w:val="left" w:pos="6756"/>
              </w:tabs>
              <w:spacing w:after="120" w:line="240" w:lineRule="auto"/>
              <w:jc w:val="center"/>
              <w:rPr>
                <w:rFonts w:ascii="Arial" w:hAnsi="Arial" w:cs="Arial"/>
                <w:b/>
                <w:caps/>
                <w:sz w:val="24"/>
                <w:szCs w:val="24"/>
              </w:rPr>
            </w:pPr>
            <w:r>
              <w:rPr>
                <w:rFonts w:ascii="Arial" w:hAnsi="Arial" w:cs="Arial"/>
                <w:b/>
                <w:caps/>
                <w:sz w:val="24"/>
                <w:szCs w:val="24"/>
              </w:rPr>
              <w:t xml:space="preserve">LEADER </w:t>
            </w:r>
          </w:p>
          <w:p w:rsidR="00684CFE" w:rsidRDefault="00684CFE"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7815" w:type="dxa"/>
            <w:gridSpan w:val="2"/>
            <w:tcBorders>
              <w:top w:val="single" w:sz="4" w:space="0" w:color="000000"/>
              <w:left w:val="single" w:sz="4" w:space="0" w:color="000000"/>
              <w:bottom w:val="single" w:sz="4" w:space="0" w:color="000000"/>
              <w:right w:val="single" w:sz="4" w:space="0" w:color="000000"/>
            </w:tcBorders>
            <w:shd w:val="clear" w:color="auto" w:fill="CCFFFF"/>
          </w:tcPr>
          <w:p w:rsidR="00684CFE" w:rsidRDefault="00684CFE" w:rsidP="00401DB2">
            <w:pPr>
              <w:tabs>
                <w:tab w:val="left" w:pos="6756"/>
              </w:tabs>
              <w:spacing w:after="120" w:line="240" w:lineRule="auto"/>
              <w:jc w:val="both"/>
            </w:pPr>
            <w:r>
              <w:rPr>
                <w:rFonts w:ascii="Arial" w:hAnsi="Arial" w:cs="Arial"/>
                <w:b/>
                <w:sz w:val="24"/>
                <w:szCs w:val="24"/>
              </w:rPr>
              <w:t>Nom du GAL : pays de Guéret</w:t>
            </w:r>
          </w:p>
        </w:tc>
      </w:tr>
      <w:tr w:rsidR="00684CFE" w:rsidTr="00401DB2">
        <w:tc>
          <w:tcPr>
            <w:tcW w:w="1561" w:type="dxa"/>
            <w:tcBorders>
              <w:top w:val="single" w:sz="4" w:space="0" w:color="000000"/>
              <w:left w:val="single" w:sz="4" w:space="0" w:color="000000"/>
              <w:bottom w:val="single" w:sz="4" w:space="0" w:color="000000"/>
            </w:tcBorders>
            <w:shd w:val="clear" w:color="auto" w:fill="CCFFFF"/>
          </w:tcPr>
          <w:p w:rsidR="00684CFE" w:rsidRDefault="00684CFE"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77" w:type="dxa"/>
            <w:tcBorders>
              <w:top w:val="single" w:sz="4" w:space="0" w:color="000000"/>
              <w:left w:val="single" w:sz="4" w:space="0" w:color="000000"/>
              <w:bottom w:val="single" w:sz="4" w:space="0" w:color="000000"/>
            </w:tcBorders>
            <w:shd w:val="clear" w:color="auto" w:fill="CCFFFF"/>
          </w:tcPr>
          <w:p w:rsidR="00684CFE" w:rsidRDefault="00684CFE" w:rsidP="00401DB2">
            <w:pPr>
              <w:tabs>
                <w:tab w:val="left" w:pos="6756"/>
              </w:tabs>
              <w:spacing w:after="120" w:line="240" w:lineRule="auto"/>
              <w:jc w:val="both"/>
              <w:rPr>
                <w:rFonts w:ascii="Arial" w:hAnsi="Arial" w:cs="Arial"/>
                <w:b/>
                <w:sz w:val="24"/>
                <w:szCs w:val="24"/>
              </w:rPr>
            </w:pPr>
            <w:r>
              <w:rPr>
                <w:rFonts w:ascii="Arial" w:hAnsi="Arial" w:cs="Arial"/>
                <w:b/>
                <w:sz w:val="24"/>
                <w:szCs w:val="24"/>
              </w:rPr>
              <w:t>N° 3</w:t>
            </w:r>
          </w:p>
        </w:tc>
        <w:tc>
          <w:tcPr>
            <w:tcW w:w="7038" w:type="dxa"/>
            <w:tcBorders>
              <w:top w:val="single" w:sz="4" w:space="0" w:color="000000"/>
              <w:left w:val="single" w:sz="4" w:space="0" w:color="000000"/>
              <w:bottom w:val="single" w:sz="4" w:space="0" w:color="000000"/>
              <w:right w:val="single" w:sz="4" w:space="0" w:color="000000"/>
            </w:tcBorders>
            <w:shd w:val="clear" w:color="auto" w:fill="CCFFFF"/>
          </w:tcPr>
          <w:p w:rsidR="00684CFE" w:rsidRDefault="00684CFE" w:rsidP="00401DB2">
            <w:pPr>
              <w:tabs>
                <w:tab w:val="left" w:pos="6756"/>
              </w:tabs>
              <w:spacing w:after="120" w:line="240" w:lineRule="auto"/>
              <w:jc w:val="both"/>
            </w:pPr>
            <w:r>
              <w:rPr>
                <w:rFonts w:ascii="Arial" w:hAnsi="Arial" w:cs="Arial"/>
                <w:b/>
                <w:sz w:val="24"/>
                <w:szCs w:val="24"/>
              </w:rPr>
              <w:t xml:space="preserve">Intitulé : </w:t>
            </w:r>
            <w:r>
              <w:rPr>
                <w:rFonts w:ascii="Arial" w:hAnsi="Arial" w:cs="Arial"/>
                <w:b/>
                <w:caps/>
                <w:sz w:val="24"/>
                <w:szCs w:val="24"/>
              </w:rPr>
              <w:t>Développer les filières de proximité</w:t>
            </w:r>
          </w:p>
        </w:tc>
      </w:tr>
      <w:tr w:rsidR="00684CFE" w:rsidTr="00401DB2">
        <w:tc>
          <w:tcPr>
            <w:tcW w:w="1561" w:type="dxa"/>
            <w:tcBorders>
              <w:top w:val="single" w:sz="4" w:space="0" w:color="000000"/>
              <w:left w:val="single" w:sz="4" w:space="0" w:color="000000"/>
              <w:bottom w:val="single" w:sz="4" w:space="0" w:color="000000"/>
            </w:tcBorders>
            <w:shd w:val="clear" w:color="auto" w:fill="CCFFFF"/>
          </w:tcPr>
          <w:p w:rsidR="00684CFE" w:rsidRDefault="00684CFE" w:rsidP="00401DB2">
            <w:pPr>
              <w:tabs>
                <w:tab w:val="left" w:pos="6756"/>
              </w:tabs>
              <w:spacing w:after="120" w:line="240" w:lineRule="auto"/>
              <w:jc w:val="center"/>
              <w:rPr>
                <w:rFonts w:ascii="Arial" w:hAnsi="Arial" w:cs="Arial"/>
                <w:b/>
                <w:bCs/>
                <w:sz w:val="20"/>
                <w:szCs w:val="20"/>
              </w:rPr>
            </w:pPr>
            <w:r>
              <w:rPr>
                <w:rFonts w:ascii="Arial" w:hAnsi="Arial" w:cs="Arial"/>
                <w:b/>
                <w:caps/>
                <w:sz w:val="20"/>
                <w:szCs w:val="20"/>
              </w:rPr>
              <w:t>Sous-mesure</w:t>
            </w:r>
          </w:p>
        </w:tc>
        <w:tc>
          <w:tcPr>
            <w:tcW w:w="7815" w:type="dxa"/>
            <w:gridSpan w:val="2"/>
            <w:tcBorders>
              <w:top w:val="single" w:sz="4" w:space="0" w:color="000000"/>
              <w:left w:val="single" w:sz="4" w:space="0" w:color="000000"/>
              <w:bottom w:val="single" w:sz="4" w:space="0" w:color="000000"/>
              <w:right w:val="single" w:sz="4" w:space="0" w:color="000000"/>
            </w:tcBorders>
            <w:shd w:val="clear" w:color="auto" w:fill="CCFFFF"/>
          </w:tcPr>
          <w:p w:rsidR="00684CFE" w:rsidRDefault="00684CFE" w:rsidP="00401DB2">
            <w:pPr>
              <w:tabs>
                <w:tab w:val="left" w:pos="6756"/>
              </w:tabs>
              <w:snapToGrid w:val="0"/>
              <w:spacing w:after="120" w:line="240" w:lineRule="auto"/>
              <w:jc w:val="both"/>
              <w:rPr>
                <w:rFonts w:ascii="Arial" w:hAnsi="Arial" w:cs="Arial"/>
                <w:b/>
                <w:bCs/>
                <w:sz w:val="20"/>
                <w:szCs w:val="20"/>
              </w:rPr>
            </w:pPr>
          </w:p>
          <w:p w:rsidR="00684CFE" w:rsidRDefault="00684CFE" w:rsidP="00401DB2">
            <w:pPr>
              <w:tabs>
                <w:tab w:val="left" w:pos="6756"/>
              </w:tabs>
              <w:spacing w:after="120" w:line="240" w:lineRule="auto"/>
              <w:jc w:val="both"/>
              <w:rPr>
                <w:rFonts w:ascii="Arial" w:hAnsi="Arial" w:cs="Arial"/>
              </w:rPr>
            </w:pPr>
            <w:r>
              <w:rPr>
                <w:rFonts w:ascii="Arial" w:hAnsi="Arial" w:cs="Arial"/>
                <w:b/>
                <w:bCs/>
                <w:sz w:val="20"/>
                <w:szCs w:val="20"/>
              </w:rPr>
              <w:t xml:space="preserve">19.2 – Aide à la mise en œuvre d’opérations dans le cadre de la stratégie de développement local mené par les acteurs locaux </w:t>
            </w:r>
          </w:p>
          <w:p w:rsidR="00684CFE" w:rsidRDefault="00684CFE" w:rsidP="00401DB2">
            <w:pPr>
              <w:tabs>
                <w:tab w:val="left" w:pos="6756"/>
              </w:tabs>
              <w:spacing w:after="120" w:line="240" w:lineRule="auto"/>
              <w:jc w:val="both"/>
              <w:rPr>
                <w:rFonts w:ascii="Arial" w:hAnsi="Arial" w:cs="Arial"/>
              </w:rPr>
            </w:pPr>
          </w:p>
        </w:tc>
      </w:tr>
      <w:tr w:rsidR="00684CFE" w:rsidTr="00401DB2">
        <w:trPr>
          <w:trHeight w:val="91"/>
        </w:trPr>
        <w:tc>
          <w:tcPr>
            <w:tcW w:w="1561" w:type="dxa"/>
            <w:tcBorders>
              <w:top w:val="single" w:sz="4" w:space="0" w:color="000000"/>
              <w:left w:val="single" w:sz="4" w:space="0" w:color="000000"/>
              <w:bottom w:val="single" w:sz="4" w:space="0" w:color="000000"/>
            </w:tcBorders>
            <w:shd w:val="clear" w:color="auto" w:fill="auto"/>
          </w:tcPr>
          <w:p w:rsidR="00684CFE" w:rsidRDefault="00684CFE"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7815" w:type="dxa"/>
            <w:gridSpan w:val="2"/>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after="120" w:line="240" w:lineRule="auto"/>
              <w:jc w:val="both"/>
            </w:pPr>
            <w:r>
              <w:rPr>
                <w:rFonts w:ascii="Arial" w:hAnsi="Arial" w:cs="Arial"/>
                <w:sz w:val="20"/>
                <w:szCs w:val="20"/>
              </w:rPr>
              <w:t xml:space="preserve">Date de signature de la convention :  </w:t>
            </w:r>
          </w:p>
        </w:tc>
      </w:tr>
      <w:tr w:rsidR="00684CFE" w:rsidTr="00401DB2">
        <w:tblPrEx>
          <w:tblCellMar>
            <w:top w:w="57" w:type="dxa"/>
            <w:bottom w:w="57" w:type="dxa"/>
          </w:tblCellMar>
        </w:tblPrEx>
        <w:trPr>
          <w:trHeight w:val="543"/>
        </w:trPr>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numPr>
                <w:ilvl w:val="0"/>
                <w:numId w:val="5"/>
              </w:numPr>
              <w:tabs>
                <w:tab w:val="left" w:pos="180"/>
                <w:tab w:val="left" w:pos="6756"/>
              </w:tabs>
              <w:spacing w:before="120" w:after="120" w:line="240" w:lineRule="auto"/>
              <w:ind w:left="180" w:hanging="180"/>
              <w:jc w:val="both"/>
            </w:pPr>
            <w:r>
              <w:rPr>
                <w:rFonts w:ascii="Arial" w:hAnsi="Arial" w:cs="Arial"/>
                <w:b/>
                <w:caps/>
                <w:sz w:val="20"/>
                <w:szCs w:val="20"/>
              </w:rPr>
              <w:t xml:space="preserve"> Description générale et logique d’intervention</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657096" w:rsidRDefault="00684CFE" w:rsidP="00401DB2">
            <w:pPr>
              <w:numPr>
                <w:ilvl w:val="1"/>
                <w:numId w:val="5"/>
              </w:numPr>
              <w:tabs>
                <w:tab w:val="left" w:pos="360"/>
                <w:tab w:val="left" w:pos="6756"/>
              </w:tabs>
              <w:spacing w:before="120" w:after="120" w:line="240" w:lineRule="auto"/>
              <w:ind w:left="1440" w:hanging="1440"/>
            </w:pPr>
            <w:r w:rsidRPr="00657096">
              <w:rPr>
                <w:rStyle w:val="Heading2Char"/>
                <w:rFonts w:ascii="Arial" w:hAnsi="Arial" w:cs="Arial"/>
                <w:sz w:val="20"/>
                <w:szCs w:val="20"/>
              </w:rPr>
              <w:t>Thématiques prioritaires régionales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after="120" w:line="240" w:lineRule="auto"/>
              <w:jc w:val="both"/>
            </w:pPr>
            <w:r>
              <w:rPr>
                <w:rFonts w:ascii="Arial" w:hAnsi="Arial" w:cs="Arial"/>
                <w:sz w:val="20"/>
                <w:szCs w:val="20"/>
              </w:rPr>
              <w:t>L’approche innovation territoriale sur les thématiques privilégiées des politiques territoriales : filière du bien vieillir, économie sociale et solidaire, économie verte, adaptation au changement climatique, stratégies alimentaires territoriales, maintien et accueil de populations et d’activités, démarche territoriale emploi et formation, politique des temps, égalité femme homme.</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sz w:val="20"/>
                <w:szCs w:val="20"/>
              </w:rPr>
              <w:t>b) Objectifs stratégiques et opérationnels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Malgré l'existence d'un potentiel forestier et d'actions déjà menées dans les domaines de la forêt et de l'agriculture, le diagnostic territorial a mis en évidence une organisation insuffisante en matière de valorisation et de commercialisation locale des ressources (bois, productions agricoles). </w:t>
            </w:r>
          </w:p>
          <w:p w:rsidR="00684CFE" w:rsidRDefault="00684CFE" w:rsidP="00401DB2">
            <w:pPr>
              <w:tabs>
                <w:tab w:val="left" w:pos="6756"/>
              </w:tabs>
              <w:spacing w:after="120" w:line="240" w:lineRule="auto"/>
              <w:jc w:val="both"/>
              <w:rPr>
                <w:rFonts w:ascii="Arial" w:hAnsi="Arial" w:cs="Arial"/>
                <w:sz w:val="20"/>
                <w:szCs w:val="20"/>
              </w:rPr>
            </w:pPr>
            <w:r>
              <w:rPr>
                <w:rFonts w:ascii="Arial" w:hAnsi="Arial" w:cs="Arial"/>
                <w:sz w:val="20"/>
                <w:szCs w:val="20"/>
              </w:rPr>
              <w:t>Parallèlement, en raison notamment du contexte économique et des changements de comportements, il est observé une sensibilité croissante du public à la qualité de son alimentation et une volonté affichée de soutenir les productions locales.</w:t>
            </w:r>
          </w:p>
          <w:p w:rsidR="00684CFE" w:rsidRDefault="00684CFE"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Conscients des potentialités locales et des enjeux économiques, les acteurs locaux  ont la volonté de développer les filières de proximité dans les domaines forestiers et agro-alimentaires afin de capter de la valeur ajoutée sur le territoire. </w:t>
            </w:r>
          </w:p>
          <w:p w:rsidR="00684CFE" w:rsidRDefault="00684CFE" w:rsidP="00401DB2">
            <w:pPr>
              <w:tabs>
                <w:tab w:val="left" w:pos="6756"/>
              </w:tabs>
              <w:spacing w:after="120" w:line="240" w:lineRule="auto"/>
              <w:rPr>
                <w:rFonts w:ascii="Arial" w:hAnsi="Arial" w:cs="Arial"/>
                <w:sz w:val="20"/>
                <w:szCs w:val="20"/>
              </w:rPr>
            </w:pPr>
          </w:p>
          <w:p w:rsidR="00684CFE" w:rsidRDefault="00684CFE" w:rsidP="00401DB2">
            <w:pPr>
              <w:tabs>
                <w:tab w:val="left" w:pos="6756"/>
              </w:tabs>
              <w:spacing w:after="120" w:line="240" w:lineRule="auto"/>
              <w:ind w:left="360"/>
              <w:rPr>
                <w:rFonts w:ascii="Arial" w:hAnsi="Arial" w:cs="Arial"/>
                <w:sz w:val="20"/>
                <w:szCs w:val="20"/>
              </w:rPr>
            </w:pPr>
            <w:r w:rsidRPr="00D7640F">
              <w:rPr>
                <w:rFonts w:ascii="Arial" w:hAnsi="Arial" w:cs="Arial"/>
                <w:b/>
                <w:sz w:val="20"/>
                <w:szCs w:val="20"/>
                <w:u w:val="single"/>
              </w:rPr>
              <w:t>Objectifs stratégiques</w:t>
            </w:r>
            <w:r>
              <w:rPr>
                <w:rFonts w:ascii="Arial" w:hAnsi="Arial" w:cs="Arial"/>
                <w:sz w:val="20"/>
                <w:szCs w:val="20"/>
              </w:rPr>
              <w:t xml:space="preserve"> : </w:t>
            </w:r>
          </w:p>
          <w:p w:rsidR="00684CFE" w:rsidRDefault="00684CFE" w:rsidP="00401DB2">
            <w:pPr>
              <w:numPr>
                <w:ilvl w:val="0"/>
                <w:numId w:val="2"/>
              </w:numPr>
              <w:tabs>
                <w:tab w:val="num" w:pos="720"/>
                <w:tab w:val="left" w:pos="6756"/>
              </w:tabs>
              <w:spacing w:after="120" w:line="240" w:lineRule="auto"/>
              <w:ind w:left="720"/>
              <w:rPr>
                <w:rFonts w:ascii="Arial" w:eastAsia="Calibri" w:hAnsi="Arial" w:cs="Arial"/>
                <w:sz w:val="20"/>
                <w:szCs w:val="20"/>
              </w:rPr>
            </w:pPr>
            <w:r>
              <w:rPr>
                <w:rFonts w:ascii="Arial" w:hAnsi="Arial" w:cs="Arial"/>
                <w:sz w:val="20"/>
                <w:szCs w:val="20"/>
              </w:rPr>
              <w:t xml:space="preserve">Convertir les ressources locales en valeur ajoutée réelle en confortant et développant les filières de proximité autour de l’agro-alimentaire et du bois ; </w:t>
            </w:r>
          </w:p>
          <w:p w:rsidR="00684CFE" w:rsidRDefault="00684CFE" w:rsidP="00401DB2">
            <w:pPr>
              <w:pStyle w:val="Standard1LTGliederung1"/>
              <w:numPr>
                <w:ilvl w:val="0"/>
                <w:numId w:val="2"/>
              </w:numPr>
              <w:tabs>
                <w:tab w:val="num" w:pos="720"/>
                <w:tab w:val="left" w:pos="6756"/>
              </w:tabs>
              <w:spacing w:after="120"/>
              <w:ind w:left="720"/>
              <w:rPr>
                <w:rFonts w:ascii="Arial" w:hAnsi="Arial" w:cs="Arial"/>
                <w:sz w:val="22"/>
                <w:szCs w:val="22"/>
              </w:rPr>
            </w:pPr>
            <w:r>
              <w:rPr>
                <w:rFonts w:ascii="Arial" w:eastAsia="Calibri" w:hAnsi="Arial" w:cs="Arial"/>
                <w:sz w:val="20"/>
                <w:szCs w:val="20"/>
              </w:rPr>
              <w:t xml:space="preserve">Assurer un avenir durable des ressources pour un cadre de vie de qualité. </w:t>
            </w:r>
          </w:p>
          <w:p w:rsidR="00684CFE" w:rsidRDefault="00684CFE" w:rsidP="00401DB2">
            <w:pPr>
              <w:pStyle w:val="Standard1LTGliederung1"/>
              <w:tabs>
                <w:tab w:val="left" w:pos="6756"/>
              </w:tabs>
              <w:spacing w:after="120"/>
              <w:rPr>
                <w:rFonts w:ascii="Arial" w:hAnsi="Arial" w:cs="Arial"/>
                <w:sz w:val="22"/>
                <w:szCs w:val="22"/>
              </w:rPr>
            </w:pPr>
          </w:p>
          <w:p w:rsidR="00684CFE" w:rsidRDefault="00684CFE" w:rsidP="00401DB2">
            <w:pPr>
              <w:tabs>
                <w:tab w:val="left" w:pos="6756"/>
              </w:tabs>
              <w:spacing w:after="120" w:line="240" w:lineRule="auto"/>
              <w:ind w:left="360"/>
              <w:rPr>
                <w:rFonts w:ascii="Arial" w:hAnsi="Arial" w:cs="Arial"/>
                <w:sz w:val="20"/>
                <w:szCs w:val="20"/>
              </w:rPr>
            </w:pPr>
            <w:r w:rsidRPr="00D7640F">
              <w:rPr>
                <w:rFonts w:ascii="Arial" w:hAnsi="Arial" w:cs="Arial"/>
                <w:b/>
                <w:sz w:val="20"/>
                <w:szCs w:val="20"/>
                <w:u w:val="single"/>
              </w:rPr>
              <w:t>Objectifs opérationnels</w:t>
            </w:r>
            <w:r>
              <w:rPr>
                <w:rFonts w:ascii="Arial" w:hAnsi="Arial" w:cs="Arial"/>
                <w:sz w:val="20"/>
                <w:szCs w:val="20"/>
              </w:rPr>
              <w:t xml:space="preserve"> : </w:t>
            </w:r>
          </w:p>
          <w:p w:rsidR="00684CFE" w:rsidRDefault="00684CFE" w:rsidP="00401DB2">
            <w:pPr>
              <w:numPr>
                <w:ilvl w:val="0"/>
                <w:numId w:val="3"/>
              </w:numPr>
              <w:tabs>
                <w:tab w:val="left" w:pos="6756"/>
              </w:tabs>
              <w:spacing w:after="120" w:line="240" w:lineRule="auto"/>
              <w:rPr>
                <w:rStyle w:val="Marquedecommentaire2"/>
                <w:rFonts w:ascii="Arial" w:hAnsi="Arial" w:cs="Arial"/>
                <w:sz w:val="20"/>
                <w:szCs w:val="20"/>
              </w:rPr>
            </w:pPr>
            <w:r>
              <w:rPr>
                <w:rFonts w:ascii="Arial" w:hAnsi="Arial" w:cs="Arial"/>
                <w:sz w:val="20"/>
                <w:szCs w:val="20"/>
              </w:rPr>
              <w:t xml:space="preserve">Organiser et structurer les filières agro-alimentaires et bois en rapprochant l’offre à la demande, </w:t>
            </w:r>
          </w:p>
          <w:p w:rsidR="00684CFE" w:rsidRDefault="00684CFE" w:rsidP="00401DB2">
            <w:pPr>
              <w:numPr>
                <w:ilvl w:val="0"/>
                <w:numId w:val="3"/>
              </w:numPr>
              <w:tabs>
                <w:tab w:val="left" w:pos="6756"/>
              </w:tabs>
              <w:spacing w:after="120" w:line="240" w:lineRule="auto"/>
              <w:rPr>
                <w:rStyle w:val="Marquedecommentaire2"/>
                <w:rFonts w:ascii="Arial" w:hAnsi="Arial" w:cs="Arial"/>
                <w:sz w:val="20"/>
                <w:szCs w:val="20"/>
              </w:rPr>
            </w:pPr>
            <w:r>
              <w:rPr>
                <w:rStyle w:val="Marquedecommentaire2"/>
                <w:rFonts w:ascii="Arial" w:hAnsi="Arial" w:cs="Arial"/>
                <w:sz w:val="20"/>
                <w:szCs w:val="20"/>
              </w:rPr>
              <w:t>Développer de nouveaux modes de distribution et de commercialisation,</w:t>
            </w:r>
          </w:p>
          <w:p w:rsidR="00684CFE" w:rsidRDefault="00684CFE" w:rsidP="00401DB2">
            <w:pPr>
              <w:numPr>
                <w:ilvl w:val="0"/>
                <w:numId w:val="3"/>
              </w:numPr>
              <w:tabs>
                <w:tab w:val="left" w:pos="6756"/>
              </w:tabs>
              <w:spacing w:after="120" w:line="240" w:lineRule="auto"/>
              <w:rPr>
                <w:rStyle w:val="Marquedecommentaire2"/>
                <w:rFonts w:ascii="Arial" w:hAnsi="Arial" w:cs="Arial"/>
                <w:sz w:val="20"/>
                <w:szCs w:val="20"/>
              </w:rPr>
            </w:pPr>
            <w:r>
              <w:rPr>
                <w:rStyle w:val="Marquedecommentaire2"/>
                <w:rFonts w:ascii="Arial" w:hAnsi="Arial" w:cs="Arial"/>
                <w:sz w:val="20"/>
                <w:szCs w:val="20"/>
              </w:rPr>
              <w:t>Mutualiser les pratiques et développer de nouveaux concepts propres au territoire (fondé sur l'économie circulaire notamment),</w:t>
            </w:r>
          </w:p>
          <w:p w:rsidR="00684CFE" w:rsidRDefault="00684CFE" w:rsidP="00401DB2">
            <w:pPr>
              <w:numPr>
                <w:ilvl w:val="0"/>
                <w:numId w:val="3"/>
              </w:numPr>
              <w:tabs>
                <w:tab w:val="left" w:pos="6756"/>
              </w:tabs>
              <w:spacing w:after="120" w:line="240" w:lineRule="auto"/>
              <w:rPr>
                <w:rStyle w:val="Marquedecommentaire2"/>
                <w:rFonts w:ascii="Arial" w:hAnsi="Arial" w:cs="Arial"/>
                <w:sz w:val="20"/>
                <w:szCs w:val="20"/>
              </w:rPr>
            </w:pPr>
            <w:r>
              <w:rPr>
                <w:rStyle w:val="Marquedecommentaire2"/>
                <w:rFonts w:ascii="Arial" w:hAnsi="Arial" w:cs="Arial"/>
                <w:sz w:val="20"/>
                <w:szCs w:val="20"/>
              </w:rPr>
              <w:t>Encourager la transformation des ressources locales,</w:t>
            </w:r>
          </w:p>
          <w:p w:rsidR="00684CFE" w:rsidRDefault="00684CFE" w:rsidP="00401DB2">
            <w:pPr>
              <w:numPr>
                <w:ilvl w:val="0"/>
                <w:numId w:val="3"/>
              </w:numPr>
              <w:tabs>
                <w:tab w:val="left" w:pos="6756"/>
              </w:tabs>
              <w:spacing w:after="120" w:line="240" w:lineRule="auto"/>
              <w:rPr>
                <w:rStyle w:val="Marquedecommentaire2"/>
                <w:rFonts w:ascii="Arial" w:hAnsi="Arial" w:cs="Arial"/>
                <w:sz w:val="20"/>
                <w:szCs w:val="20"/>
              </w:rPr>
            </w:pPr>
            <w:r>
              <w:rPr>
                <w:rStyle w:val="Marquedecommentaire2"/>
                <w:rFonts w:ascii="Arial" w:hAnsi="Arial" w:cs="Arial"/>
                <w:sz w:val="20"/>
                <w:szCs w:val="20"/>
              </w:rPr>
              <w:t>Communiquer auprès de la population sur les offres et les initiatives locales,</w:t>
            </w:r>
          </w:p>
          <w:p w:rsidR="00684CFE" w:rsidRPr="00CD7591" w:rsidRDefault="00684CFE" w:rsidP="00401DB2">
            <w:pPr>
              <w:numPr>
                <w:ilvl w:val="0"/>
                <w:numId w:val="3"/>
              </w:numPr>
              <w:tabs>
                <w:tab w:val="left" w:pos="6756"/>
              </w:tabs>
              <w:spacing w:after="120" w:line="240" w:lineRule="auto"/>
              <w:rPr>
                <w:rFonts w:ascii="Arial" w:hAnsi="Arial" w:cs="Arial"/>
                <w:sz w:val="20"/>
                <w:szCs w:val="20"/>
                <w:shd w:val="clear" w:color="auto" w:fill="FFFF00"/>
              </w:rPr>
            </w:pPr>
            <w:r>
              <w:rPr>
                <w:rStyle w:val="Marquedecommentaire2"/>
                <w:rFonts w:ascii="Arial" w:hAnsi="Arial" w:cs="Arial"/>
                <w:sz w:val="20"/>
                <w:szCs w:val="20"/>
              </w:rPr>
              <w:lastRenderedPageBreak/>
              <w:t>Développer l'approvisionnement en produits locaux (bois et productions agricoles</w:t>
            </w:r>
            <w:r w:rsidRPr="00657096">
              <w:rPr>
                <w:rStyle w:val="Marquedecommentaire2"/>
                <w:rFonts w:ascii="Arial" w:hAnsi="Arial" w:cs="Arial"/>
                <w:sz w:val="20"/>
                <w:szCs w:val="20"/>
              </w:rPr>
              <w:t>).</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sz w:val="20"/>
                <w:szCs w:val="20"/>
              </w:rPr>
              <w:lastRenderedPageBreak/>
              <w:t>c) Effets attendus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numPr>
                <w:ilvl w:val="0"/>
                <w:numId w:val="11"/>
              </w:numPr>
              <w:tabs>
                <w:tab w:val="left" w:pos="754"/>
              </w:tabs>
              <w:spacing w:before="120" w:after="120" w:line="240" w:lineRule="auto"/>
              <w:rPr>
                <w:rFonts w:ascii="Arial" w:hAnsi="Arial" w:cs="Arial"/>
                <w:sz w:val="20"/>
                <w:szCs w:val="20"/>
              </w:rPr>
            </w:pPr>
            <w:r>
              <w:rPr>
                <w:rFonts w:ascii="Arial" w:hAnsi="Arial" w:cs="Arial"/>
                <w:sz w:val="20"/>
                <w:szCs w:val="20"/>
              </w:rPr>
              <w:t>Création d’emplois et de services,</w:t>
            </w:r>
          </w:p>
          <w:p w:rsidR="00684CFE" w:rsidRDefault="00684CFE" w:rsidP="00401DB2">
            <w:pPr>
              <w:numPr>
                <w:ilvl w:val="0"/>
                <w:numId w:val="11"/>
              </w:numPr>
              <w:tabs>
                <w:tab w:val="left" w:pos="754"/>
              </w:tabs>
              <w:spacing w:before="120" w:after="120" w:line="240" w:lineRule="auto"/>
              <w:rPr>
                <w:rFonts w:ascii="Arial" w:hAnsi="Arial" w:cs="Arial"/>
                <w:sz w:val="20"/>
                <w:szCs w:val="20"/>
              </w:rPr>
            </w:pPr>
            <w:r>
              <w:rPr>
                <w:rFonts w:ascii="Arial" w:hAnsi="Arial" w:cs="Arial"/>
                <w:sz w:val="20"/>
                <w:szCs w:val="20"/>
              </w:rPr>
              <w:t>renforcement de l'image du territoire à travers ses produits et ses savoir-faire</w:t>
            </w:r>
          </w:p>
          <w:p w:rsidR="00684CFE" w:rsidRDefault="00684CFE" w:rsidP="00401DB2">
            <w:pPr>
              <w:tabs>
                <w:tab w:val="left" w:pos="6756"/>
              </w:tabs>
              <w:spacing w:before="120" w:after="120" w:line="240" w:lineRule="auto"/>
              <w:rPr>
                <w:rFonts w:ascii="Arial" w:hAnsi="Arial" w:cs="Arial"/>
                <w:b/>
                <w:sz w:val="20"/>
                <w:szCs w:val="20"/>
              </w:rPr>
            </w:pP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numPr>
                <w:ilvl w:val="0"/>
                <w:numId w:val="5"/>
              </w:numPr>
              <w:tabs>
                <w:tab w:val="left" w:pos="180"/>
                <w:tab w:val="left" w:pos="6756"/>
              </w:tabs>
              <w:spacing w:before="120" w:after="120" w:line="240" w:lineRule="auto"/>
              <w:ind w:left="180" w:hanging="180"/>
              <w:jc w:val="both"/>
            </w:pPr>
            <w:r>
              <w:rPr>
                <w:rFonts w:ascii="Arial" w:hAnsi="Arial" w:cs="Arial"/>
                <w:b/>
                <w:caps/>
                <w:sz w:val="20"/>
                <w:szCs w:val="20"/>
              </w:rPr>
              <w:t xml:space="preserve"> Description du type d’opérations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pBdr>
                <w:top w:val="single" w:sz="4" w:space="1" w:color="C0C0C0"/>
                <w:left w:val="single" w:sz="4" w:space="4" w:color="C0C0C0"/>
                <w:bottom w:val="single" w:sz="4" w:space="1" w:color="C0C0C0"/>
                <w:right w:val="single" w:sz="4" w:space="4" w:color="C0C0C0"/>
              </w:pBdr>
              <w:spacing w:after="120"/>
              <w:jc w:val="both"/>
              <w:rPr>
                <w:rFonts w:ascii="Arial" w:hAnsi="Arial" w:cs="Arial"/>
                <w:color w:val="000000"/>
                <w:sz w:val="20"/>
                <w:szCs w:val="20"/>
              </w:rPr>
            </w:pPr>
            <w:r>
              <w:rPr>
                <w:rFonts w:ascii="Arial" w:hAnsi="Arial" w:cs="Arial"/>
                <w:sz w:val="20"/>
                <w:szCs w:val="20"/>
              </w:rPr>
              <w:t xml:space="preserve">Les projets accompagnés  concernent : </w:t>
            </w:r>
          </w:p>
          <w:p w:rsidR="00684CFE" w:rsidRPr="00D7640F"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rPr>
                <w:rFonts w:ascii="Arial" w:hAnsi="Arial" w:cs="Arial"/>
                <w:sz w:val="20"/>
                <w:szCs w:val="20"/>
              </w:rPr>
            </w:pPr>
            <w:r w:rsidRPr="00D7640F">
              <w:rPr>
                <w:rFonts w:ascii="Arial" w:hAnsi="Arial" w:cs="Arial"/>
                <w:sz w:val="20"/>
                <w:szCs w:val="20"/>
              </w:rPr>
              <w:t>le transport de produits locaux, la logistique, les plateformes de stockage et d'approvisionnement situées hors des exploitations agricoles,</w:t>
            </w:r>
          </w:p>
          <w:p w:rsidR="00684CFE" w:rsidRPr="00D7640F"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rPr>
                <w:rFonts w:ascii="Arial" w:hAnsi="Arial" w:cs="Arial"/>
                <w:sz w:val="20"/>
                <w:szCs w:val="20"/>
              </w:rPr>
            </w:pPr>
            <w:r w:rsidRPr="00D7640F">
              <w:rPr>
                <w:rFonts w:ascii="Arial" w:hAnsi="Arial" w:cs="Arial"/>
                <w:sz w:val="20"/>
                <w:szCs w:val="20"/>
              </w:rPr>
              <w:t>les points de vente et les magasins de producteurs situés hors des exploitations agricoles,</w:t>
            </w:r>
          </w:p>
          <w:p w:rsidR="00684CFE"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rPr>
                <w:rFonts w:ascii="Arial" w:hAnsi="Arial" w:cs="Arial"/>
                <w:sz w:val="20"/>
                <w:szCs w:val="20"/>
              </w:rPr>
            </w:pPr>
            <w:r w:rsidRPr="00D7640F">
              <w:rPr>
                <w:rFonts w:ascii="Arial" w:hAnsi="Arial" w:cs="Arial"/>
                <w:sz w:val="20"/>
                <w:szCs w:val="20"/>
              </w:rPr>
              <w:t>les ateliers de transformation, les légumeries situés hors des exploitations agricoles,</w:t>
            </w:r>
          </w:p>
          <w:p w:rsidR="00684CFE"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rPr>
                <w:rFonts w:ascii="Arial" w:hAnsi="Arial" w:cs="Arial"/>
                <w:sz w:val="20"/>
                <w:szCs w:val="20"/>
              </w:rPr>
            </w:pPr>
            <w:r>
              <w:rPr>
                <w:rFonts w:ascii="Arial" w:hAnsi="Arial" w:cs="Arial"/>
                <w:sz w:val="20"/>
                <w:szCs w:val="20"/>
              </w:rPr>
              <w:t xml:space="preserve">l'information et la sensibilisation de la population sur les initiatives locales, </w:t>
            </w:r>
          </w:p>
          <w:p w:rsidR="00684CFE"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rPr>
                <w:rFonts w:ascii="Arial" w:hAnsi="Arial" w:cs="Arial"/>
                <w:sz w:val="20"/>
                <w:szCs w:val="20"/>
              </w:rPr>
            </w:pPr>
            <w:r>
              <w:rPr>
                <w:rFonts w:ascii="Arial" w:hAnsi="Arial" w:cs="Arial"/>
                <w:sz w:val="20"/>
                <w:szCs w:val="20"/>
              </w:rPr>
              <w:t xml:space="preserve">les démarches contribuant à l'utilisation des produits locaux et à la structuration de la demande dans la restauration publique et privée, </w:t>
            </w:r>
          </w:p>
          <w:p w:rsidR="00684CFE" w:rsidRDefault="00684CFE" w:rsidP="00401DB2">
            <w:pPr>
              <w:numPr>
                <w:ilvl w:val="0"/>
                <w:numId w:val="11"/>
              </w:numPr>
              <w:pBdr>
                <w:top w:val="single" w:sz="4" w:space="1" w:color="C0C0C0"/>
                <w:left w:val="single" w:sz="4" w:space="4" w:color="C0C0C0"/>
                <w:bottom w:val="single" w:sz="4" w:space="1" w:color="C0C0C0"/>
                <w:right w:val="single" w:sz="4" w:space="4" w:color="C0C0C0"/>
              </w:pBdr>
              <w:tabs>
                <w:tab w:val="left" w:pos="754"/>
              </w:tabs>
              <w:spacing w:before="120" w:after="120" w:line="240" w:lineRule="auto"/>
              <w:jc w:val="both"/>
            </w:pPr>
            <w:r>
              <w:rPr>
                <w:rFonts w:ascii="Arial" w:hAnsi="Arial" w:cs="Arial"/>
                <w:sz w:val="20"/>
                <w:szCs w:val="20"/>
              </w:rPr>
              <w:t xml:space="preserve">les démarches commerciales visant à prendre des parts de marché en bois local dans les points de vente (avec création d’un label « bois du Limousin ») en lien avec la Charte Forestière du territoire. </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657096" w:rsidRDefault="00684CFE" w:rsidP="00401DB2">
            <w:pPr>
              <w:tabs>
                <w:tab w:val="left" w:pos="6756"/>
              </w:tabs>
              <w:spacing w:before="120" w:after="120" w:line="240" w:lineRule="auto"/>
            </w:pPr>
            <w:r w:rsidRPr="00657096">
              <w:rPr>
                <w:rStyle w:val="Heading1Char"/>
                <w:rFonts w:ascii="Arial" w:hAnsi="Arial" w:cs="Arial"/>
                <w:caps/>
                <w:sz w:val="20"/>
                <w:szCs w:val="20"/>
              </w:rPr>
              <w:t>3. Type de soutieN</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after="120" w:line="240" w:lineRule="auto"/>
            </w:pPr>
            <w:r>
              <w:rPr>
                <w:rFonts w:ascii="Arial" w:hAnsi="Arial" w:cs="Arial"/>
                <w:sz w:val="20"/>
                <w:szCs w:val="20"/>
              </w:rPr>
              <w:t>Subvention.</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657096" w:rsidRDefault="00684CFE" w:rsidP="00401DB2">
            <w:pPr>
              <w:tabs>
                <w:tab w:val="left" w:pos="6756"/>
              </w:tabs>
              <w:spacing w:before="120" w:after="120" w:line="240" w:lineRule="auto"/>
            </w:pPr>
            <w:r w:rsidRPr="00657096">
              <w:rPr>
                <w:rStyle w:val="Heading1Char"/>
                <w:rFonts w:ascii="Arial" w:hAnsi="Arial" w:cs="Arial"/>
                <w:caps/>
                <w:sz w:val="20"/>
                <w:szCs w:val="20"/>
              </w:rPr>
              <w:t>4. Liens vers d’autres actes législatifs</w:t>
            </w:r>
            <w:r w:rsidRPr="00657096">
              <w:rPr>
                <w:rFonts w:ascii="Arial" w:hAnsi="Arial" w:cs="Arial"/>
                <w:b/>
                <w:caps/>
                <w:sz w:val="20"/>
                <w:szCs w:val="20"/>
              </w:rPr>
              <w:t xml:space="preserve"> </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Articles 32 à 35 du Règlement (UE) n°1303/2013 du 17 décembre 2013 (principe de Développement Local mené par les Acteurs Locaux (DLAL) qui se base sur l'approche LEADER).</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Articles 42 à 44 du Règlement (UE) n°1305/2013 du 17 décembre 2013 (modalités de mise en œuvre de l’approche LEADER : Groupe d’Action Locale (GAL), aide préparatoire, activités de coopération, frais de fonctionnement et d’animation).</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 xml:space="preserve">Article 45 du Règlement (UE) n°1305/2013 du 17 décembre 2013 relatifs aux opérations d’investissements. </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 59 du Règlement (UE) n°1305/2013 du 17 décembre 2013</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 82 du Règlement (UE) n°1305/2013 du 17 décembre 2013</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Articles 65 à 71 du Règlement (UE) n°1303/2013 du 17 décembre 2013 (éligibilité des dépenses et pérennité),</w:t>
            </w:r>
          </w:p>
          <w:p w:rsidR="00684CFE" w:rsidRPr="0012132A"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Décret et arrêté fixant les règles nationales d’éligibilité des dépenses des programmes européens pour la période 2014-2020.</w:t>
            </w:r>
          </w:p>
          <w:p w:rsidR="00684CFE" w:rsidRDefault="00684CFE" w:rsidP="00401DB2">
            <w:pPr>
              <w:numPr>
                <w:ilvl w:val="0"/>
                <w:numId w:val="11"/>
              </w:numPr>
              <w:tabs>
                <w:tab w:val="left" w:pos="471"/>
              </w:tabs>
              <w:spacing w:before="120" w:after="120" w:line="240" w:lineRule="auto"/>
              <w:ind w:left="471" w:hanging="284"/>
              <w:jc w:val="both"/>
              <w:rPr>
                <w:rFonts w:ascii="Arial" w:hAnsi="Arial" w:cs="Arial"/>
                <w:sz w:val="20"/>
                <w:szCs w:val="20"/>
              </w:rPr>
            </w:pPr>
            <w:r>
              <w:rPr>
                <w:rFonts w:ascii="Arial" w:hAnsi="Arial" w:cs="Arial"/>
                <w:sz w:val="20"/>
                <w:szCs w:val="20"/>
              </w:rPr>
              <w:t>PDR Limousin 2014-2020.</w:t>
            </w:r>
          </w:p>
          <w:p w:rsidR="00684CFE" w:rsidRDefault="00684CFE" w:rsidP="00401DB2">
            <w:pPr>
              <w:numPr>
                <w:ilvl w:val="0"/>
                <w:numId w:val="11"/>
              </w:numPr>
              <w:tabs>
                <w:tab w:val="left" w:pos="754"/>
              </w:tabs>
              <w:spacing w:before="120" w:after="120" w:line="240" w:lineRule="auto"/>
              <w:rPr>
                <w:rFonts w:ascii="Arial" w:hAnsi="Arial" w:cs="Arial"/>
                <w:sz w:val="20"/>
                <w:szCs w:val="20"/>
              </w:rPr>
            </w:pPr>
            <w:r>
              <w:rPr>
                <w:rFonts w:ascii="Arial" w:hAnsi="Arial" w:cs="Arial"/>
                <w:sz w:val="20"/>
                <w:szCs w:val="20"/>
              </w:rPr>
              <w:t>Règles européennes et nationales en matière de marchés publics</w:t>
            </w:r>
          </w:p>
          <w:p w:rsidR="00684CFE" w:rsidRPr="00657096" w:rsidRDefault="00684CFE" w:rsidP="00401DB2">
            <w:pPr>
              <w:numPr>
                <w:ilvl w:val="0"/>
                <w:numId w:val="11"/>
              </w:numPr>
              <w:tabs>
                <w:tab w:val="left" w:pos="754"/>
              </w:tabs>
              <w:spacing w:before="120" w:after="120" w:line="240" w:lineRule="auto"/>
              <w:rPr>
                <w:rFonts w:ascii="Arial" w:hAnsi="Arial" w:cs="Arial"/>
                <w:sz w:val="20"/>
                <w:szCs w:val="20"/>
              </w:rPr>
            </w:pPr>
            <w:r w:rsidRPr="00657096">
              <w:rPr>
                <w:rFonts w:ascii="Arial" w:hAnsi="Arial" w:cs="Arial"/>
                <w:sz w:val="20"/>
                <w:szCs w:val="20"/>
              </w:rPr>
              <w:lastRenderedPageBreak/>
              <w:t xml:space="preserve">Régimes d’aide d’Etat en vigueur (régimes d’aide d’Etat notifiés, exemptés ou de </w:t>
            </w:r>
            <w:proofErr w:type="spellStart"/>
            <w:r w:rsidRPr="00657096">
              <w:rPr>
                <w:rFonts w:ascii="Arial" w:hAnsi="Arial" w:cs="Arial"/>
                <w:sz w:val="20"/>
                <w:szCs w:val="20"/>
              </w:rPr>
              <w:t>minimis</w:t>
            </w:r>
            <w:proofErr w:type="spellEnd"/>
            <w:r w:rsidRPr="00657096">
              <w:rPr>
                <w:rFonts w:ascii="Arial" w:hAnsi="Arial" w:cs="Arial"/>
                <w:sz w:val="20"/>
                <w:szCs w:val="20"/>
              </w:rPr>
              <w:t>).</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lastRenderedPageBreak/>
              <w:t>5. Bénéficiaires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numPr>
                <w:ilvl w:val="0"/>
                <w:numId w:val="11"/>
              </w:numPr>
              <w:tabs>
                <w:tab w:val="left" w:pos="754"/>
              </w:tabs>
              <w:spacing w:before="120" w:after="120" w:line="240" w:lineRule="auto"/>
              <w:jc w:val="both"/>
              <w:rPr>
                <w:rFonts w:ascii="Arial" w:hAnsi="Arial" w:cs="Arial"/>
                <w:sz w:val="20"/>
                <w:szCs w:val="20"/>
              </w:rPr>
            </w:pPr>
            <w:r>
              <w:rPr>
                <w:rFonts w:ascii="Arial" w:hAnsi="Arial" w:cs="Arial"/>
                <w:sz w:val="20"/>
                <w:szCs w:val="20"/>
              </w:rPr>
              <w:t>G</w:t>
            </w:r>
            <w:r w:rsidRPr="00A47447">
              <w:rPr>
                <w:rFonts w:ascii="Arial" w:hAnsi="Arial" w:cs="Arial"/>
                <w:sz w:val="20"/>
                <w:szCs w:val="20"/>
              </w:rPr>
              <w:t>roupements labellisés groupement d'intérêt économique et environnemental (GIEE),</w:t>
            </w:r>
            <w:r>
              <w:rPr>
                <w:rFonts w:ascii="Arial" w:hAnsi="Arial" w:cs="Arial"/>
                <w:sz w:val="20"/>
                <w:szCs w:val="20"/>
              </w:rPr>
              <w:t xml:space="preserve"> </w:t>
            </w:r>
            <w:r w:rsidRPr="00832E17">
              <w:rPr>
                <w:rFonts w:ascii="Arial" w:hAnsi="Arial" w:cs="Arial"/>
                <w:sz w:val="20"/>
                <w:szCs w:val="20"/>
                <w:highlight w:val="yellow"/>
              </w:rPr>
              <w:t>les groupements d’intérêt économique (GIE)</w:t>
            </w:r>
            <w:r>
              <w:rPr>
                <w:rFonts w:ascii="Arial" w:hAnsi="Arial" w:cs="Arial"/>
                <w:sz w:val="20"/>
                <w:szCs w:val="20"/>
              </w:rPr>
              <w:t>,</w:t>
            </w:r>
            <w:r w:rsidRPr="00A47447">
              <w:rPr>
                <w:rFonts w:ascii="Arial" w:hAnsi="Arial" w:cs="Arial"/>
                <w:sz w:val="20"/>
                <w:szCs w:val="20"/>
              </w:rPr>
              <w:t xml:space="preserve"> groupements de producteurs,  coopératives, </w:t>
            </w:r>
            <w:r w:rsidRPr="00D7640F">
              <w:rPr>
                <w:rFonts w:ascii="Arial" w:hAnsi="Arial" w:cs="Arial"/>
                <w:sz w:val="20"/>
                <w:szCs w:val="20"/>
              </w:rPr>
              <w:t>chambres consulaires, organisations interprofessionnelles</w:t>
            </w:r>
            <w:r>
              <w:rPr>
                <w:rFonts w:ascii="Arial" w:hAnsi="Arial" w:cs="Arial"/>
                <w:sz w:val="20"/>
                <w:szCs w:val="20"/>
              </w:rPr>
              <w:t xml:space="preserve">, entreprises. </w:t>
            </w:r>
          </w:p>
          <w:p w:rsidR="00684CFE" w:rsidRDefault="00684CFE" w:rsidP="00401DB2">
            <w:pPr>
              <w:numPr>
                <w:ilvl w:val="0"/>
                <w:numId w:val="11"/>
              </w:numPr>
              <w:tabs>
                <w:tab w:val="left" w:pos="754"/>
              </w:tabs>
              <w:spacing w:before="120" w:after="120" w:line="240" w:lineRule="auto"/>
              <w:jc w:val="both"/>
              <w:rPr>
                <w:rFonts w:ascii="Arial" w:hAnsi="Arial" w:cs="Arial"/>
                <w:sz w:val="20"/>
                <w:szCs w:val="20"/>
              </w:rPr>
            </w:pPr>
            <w:r>
              <w:rPr>
                <w:rFonts w:ascii="Arial" w:hAnsi="Arial" w:cs="Arial"/>
                <w:sz w:val="20"/>
                <w:szCs w:val="20"/>
              </w:rPr>
              <w:t xml:space="preserve">collectivités territoriales, les établissements publics de coopération intercommunale, les syndicats intercommunaux, </w:t>
            </w:r>
            <w:r w:rsidRPr="00832E17">
              <w:rPr>
                <w:rFonts w:ascii="Arial" w:hAnsi="Arial" w:cs="Arial"/>
                <w:sz w:val="20"/>
                <w:szCs w:val="20"/>
                <w:highlight w:val="yellow"/>
              </w:rPr>
              <w:t>les groupements d’intérêt public (GIP).</w:t>
            </w:r>
          </w:p>
          <w:p w:rsidR="00684CFE" w:rsidRPr="000B24D6" w:rsidRDefault="00684CFE" w:rsidP="00401DB2">
            <w:pPr>
              <w:numPr>
                <w:ilvl w:val="0"/>
                <w:numId w:val="11"/>
              </w:numPr>
              <w:tabs>
                <w:tab w:val="left" w:pos="754"/>
              </w:tabs>
              <w:spacing w:before="120" w:after="120" w:line="240" w:lineRule="auto"/>
              <w:jc w:val="both"/>
              <w:rPr>
                <w:rFonts w:ascii="Arial" w:hAnsi="Arial" w:cs="Arial"/>
                <w:sz w:val="20"/>
                <w:szCs w:val="20"/>
              </w:rPr>
            </w:pPr>
            <w:r>
              <w:rPr>
                <w:rFonts w:ascii="Arial" w:hAnsi="Arial" w:cs="Arial"/>
                <w:sz w:val="20"/>
                <w:szCs w:val="20"/>
              </w:rPr>
              <w:t>associations loi 1901.</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t>6. Coûts admissibles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0B24D6" w:rsidRDefault="00684CFE" w:rsidP="00401DB2">
            <w:pPr>
              <w:pStyle w:val="Normalpucetableau"/>
              <w:numPr>
                <w:ilvl w:val="0"/>
                <w:numId w:val="0"/>
              </w:numPr>
              <w:tabs>
                <w:tab w:val="left" w:pos="612"/>
              </w:tabs>
              <w:spacing w:after="120"/>
              <w:ind w:left="644"/>
              <w:jc w:val="both"/>
              <w:rPr>
                <w:rStyle w:val="Marquedecommentaire2"/>
                <w:rFonts w:ascii="Arial" w:hAnsi="Arial" w:cs="Arial"/>
                <w:sz w:val="20"/>
                <w:u w:val="single"/>
              </w:rPr>
            </w:pPr>
            <w:r w:rsidRPr="000B24D6">
              <w:rPr>
                <w:rStyle w:val="Marquedecommentaire2"/>
                <w:rFonts w:ascii="Arial" w:hAnsi="Arial" w:cs="Arial"/>
                <w:sz w:val="20"/>
                <w:u w:val="single"/>
              </w:rPr>
              <w:t>Les investissements matériels :</w:t>
            </w:r>
          </w:p>
          <w:p w:rsidR="00684CFE" w:rsidRPr="00D7640F" w:rsidRDefault="00684CFE" w:rsidP="00401DB2">
            <w:pPr>
              <w:pStyle w:val="Normalpucetableau"/>
              <w:numPr>
                <w:ilvl w:val="0"/>
                <w:numId w:val="7"/>
              </w:numPr>
              <w:tabs>
                <w:tab w:val="left" w:pos="329"/>
              </w:tabs>
              <w:spacing w:after="120"/>
              <w:jc w:val="both"/>
              <w:rPr>
                <w:rStyle w:val="Marquedecommentaire2"/>
                <w:rFonts w:ascii="Arial" w:hAnsi="Arial" w:cs="Arial"/>
                <w:sz w:val="20"/>
              </w:rPr>
            </w:pPr>
            <w:r w:rsidRPr="00D7640F">
              <w:rPr>
                <w:rStyle w:val="Marquedecommentaire2"/>
                <w:rFonts w:ascii="Arial" w:hAnsi="Arial" w:cs="Arial"/>
                <w:sz w:val="20"/>
              </w:rPr>
              <w:t xml:space="preserve">Travaux de rénovation, travaux d’aménagement intérieurs et d’extension de bâtiments, </w:t>
            </w:r>
            <w:r>
              <w:rPr>
                <w:rStyle w:val="Marquedecommentaire2"/>
                <w:rFonts w:ascii="Arial" w:hAnsi="Arial" w:cs="Arial"/>
                <w:sz w:val="20"/>
              </w:rPr>
              <w:t>t</w:t>
            </w:r>
            <w:r w:rsidRPr="00D7640F">
              <w:rPr>
                <w:rStyle w:val="Marquedecommentaire2"/>
                <w:rFonts w:ascii="Arial" w:hAnsi="Arial" w:cs="Arial"/>
                <w:sz w:val="20"/>
              </w:rPr>
              <w:t>ravaux d’aménagement paysager</w:t>
            </w:r>
            <w:r>
              <w:rPr>
                <w:rStyle w:val="Marquedecommentaire2"/>
                <w:rFonts w:ascii="Arial" w:hAnsi="Arial" w:cs="Arial"/>
                <w:sz w:val="20"/>
              </w:rPr>
              <w:t>,</w:t>
            </w:r>
          </w:p>
          <w:p w:rsidR="00684CFE" w:rsidRPr="000B24D6" w:rsidRDefault="00684CFE" w:rsidP="00401DB2">
            <w:pPr>
              <w:pStyle w:val="Normalpucetableau"/>
              <w:numPr>
                <w:ilvl w:val="0"/>
                <w:numId w:val="7"/>
              </w:numPr>
              <w:tabs>
                <w:tab w:val="left" w:pos="329"/>
              </w:tabs>
              <w:spacing w:after="120"/>
              <w:jc w:val="both"/>
              <w:rPr>
                <w:rStyle w:val="Marquedecommentaire2"/>
                <w:rFonts w:ascii="Arial" w:hAnsi="Arial" w:cs="Arial"/>
                <w:sz w:val="20"/>
              </w:rPr>
            </w:pPr>
            <w:r w:rsidRPr="000B24D6">
              <w:rPr>
                <w:rStyle w:val="Marquedecommentaire2"/>
                <w:rFonts w:ascii="Arial" w:hAnsi="Arial" w:cs="Arial"/>
                <w:sz w:val="20"/>
              </w:rPr>
              <w:t>matériels et équipements</w:t>
            </w:r>
            <w:r>
              <w:rPr>
                <w:rStyle w:val="Marquedecommentaire2"/>
                <w:rFonts w:ascii="Arial" w:hAnsi="Arial" w:cs="Arial"/>
                <w:sz w:val="20"/>
              </w:rPr>
              <w:t>,</w:t>
            </w:r>
            <w:r w:rsidRPr="000B24D6">
              <w:rPr>
                <w:rStyle w:val="Marquedecommentaire2"/>
                <w:rFonts w:ascii="Arial" w:hAnsi="Arial" w:cs="Arial"/>
                <w:sz w:val="20"/>
              </w:rPr>
              <w:t xml:space="preserve"> </w:t>
            </w:r>
          </w:p>
          <w:p w:rsidR="00684CFE" w:rsidRPr="000B24D6" w:rsidRDefault="00684CFE" w:rsidP="00401DB2">
            <w:pPr>
              <w:pStyle w:val="Normalpucetableau"/>
              <w:numPr>
                <w:ilvl w:val="0"/>
                <w:numId w:val="7"/>
              </w:numPr>
              <w:tabs>
                <w:tab w:val="left" w:pos="329"/>
              </w:tabs>
              <w:spacing w:after="120"/>
              <w:jc w:val="both"/>
              <w:rPr>
                <w:rStyle w:val="Marquedecommentaire2"/>
                <w:rFonts w:ascii="Arial" w:hAnsi="Arial" w:cs="Arial"/>
                <w:sz w:val="20"/>
              </w:rPr>
            </w:pPr>
            <w:r w:rsidRPr="000B24D6">
              <w:rPr>
                <w:rStyle w:val="Marquedecommentaire2"/>
                <w:rFonts w:ascii="Arial" w:hAnsi="Arial" w:cs="Arial"/>
                <w:sz w:val="20"/>
              </w:rPr>
              <w:t>mobiliers professionnels et/ou d’accueil de public ainsi que la signalétique</w:t>
            </w:r>
            <w:r>
              <w:rPr>
                <w:rStyle w:val="Marquedecommentaire2"/>
                <w:rFonts w:ascii="Arial" w:hAnsi="Arial" w:cs="Arial"/>
                <w:sz w:val="20"/>
              </w:rPr>
              <w:t xml:space="preserve"> in situ</w:t>
            </w:r>
            <w:r w:rsidRPr="000B24D6">
              <w:rPr>
                <w:rStyle w:val="Marquedecommentaire2"/>
                <w:rFonts w:ascii="Arial" w:hAnsi="Arial" w:cs="Arial"/>
                <w:sz w:val="20"/>
              </w:rPr>
              <w:t xml:space="preserve"> de ces nouveaux lieux</w:t>
            </w:r>
            <w:r>
              <w:rPr>
                <w:rStyle w:val="Marquedecommentaire2"/>
                <w:rFonts w:ascii="Arial" w:hAnsi="Arial" w:cs="Arial"/>
                <w:sz w:val="20"/>
              </w:rPr>
              <w:t>,</w:t>
            </w:r>
          </w:p>
          <w:p w:rsidR="00684CFE" w:rsidRDefault="00684CFE" w:rsidP="00401DB2">
            <w:pPr>
              <w:pStyle w:val="Normalpucetableau"/>
              <w:numPr>
                <w:ilvl w:val="0"/>
                <w:numId w:val="7"/>
              </w:numPr>
              <w:tabs>
                <w:tab w:val="left" w:pos="329"/>
              </w:tabs>
              <w:spacing w:after="120"/>
              <w:jc w:val="both"/>
              <w:rPr>
                <w:rStyle w:val="Marquedecommentaire2"/>
                <w:rFonts w:ascii="Arial" w:hAnsi="Arial" w:cs="Arial"/>
                <w:sz w:val="20"/>
              </w:rPr>
            </w:pPr>
            <w:r w:rsidRPr="000B24D6">
              <w:rPr>
                <w:rStyle w:val="Marquedecommentaire2"/>
                <w:rFonts w:ascii="Arial" w:hAnsi="Arial" w:cs="Arial"/>
                <w:sz w:val="20"/>
              </w:rPr>
              <w:t>supports de communication et d’information</w:t>
            </w:r>
            <w:r>
              <w:rPr>
                <w:rStyle w:val="Marquedecommentaire2"/>
                <w:rFonts w:ascii="Arial" w:hAnsi="Arial" w:cs="Arial"/>
                <w:sz w:val="20"/>
              </w:rPr>
              <w:t>,</w:t>
            </w:r>
          </w:p>
          <w:p w:rsidR="00684CFE" w:rsidRPr="00D70FD5" w:rsidRDefault="00684CFE" w:rsidP="00401DB2">
            <w:pPr>
              <w:pStyle w:val="Normalpucetableau"/>
              <w:numPr>
                <w:ilvl w:val="0"/>
                <w:numId w:val="7"/>
              </w:numPr>
              <w:tabs>
                <w:tab w:val="left" w:pos="6756"/>
              </w:tabs>
              <w:spacing w:before="0" w:after="120"/>
              <w:jc w:val="both"/>
              <w:textAlignment w:val="auto"/>
              <w:rPr>
                <w:rFonts w:ascii="Arial" w:hAnsi="Arial" w:cs="Arial"/>
                <w:sz w:val="20"/>
                <w:u w:val="single"/>
              </w:rPr>
            </w:pPr>
            <w:r>
              <w:rPr>
                <w:rStyle w:val="Marquedecommentaire2"/>
                <w:rFonts w:ascii="Arial" w:hAnsi="Arial" w:cs="Arial"/>
                <w:sz w:val="20"/>
              </w:rPr>
              <w:t xml:space="preserve">matériels roulants </w:t>
            </w:r>
            <w:r>
              <w:rPr>
                <w:rFonts w:ascii="Arial" w:hAnsi="Arial" w:cs="Arial"/>
                <w:sz w:val="20"/>
              </w:rPr>
              <w:t>pour le développement de services mutualisés,</w:t>
            </w:r>
          </w:p>
          <w:p w:rsidR="00684CFE" w:rsidRPr="00D70FD5" w:rsidRDefault="00684CFE" w:rsidP="00401DB2">
            <w:pPr>
              <w:numPr>
                <w:ilvl w:val="0"/>
                <w:numId w:val="7"/>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684CFE" w:rsidRDefault="00684CFE" w:rsidP="00401DB2">
            <w:pPr>
              <w:pStyle w:val="Normalpucetableau"/>
              <w:numPr>
                <w:ilvl w:val="0"/>
                <w:numId w:val="0"/>
              </w:numPr>
              <w:tabs>
                <w:tab w:val="left" w:pos="329"/>
              </w:tabs>
              <w:spacing w:after="120"/>
              <w:ind w:left="360"/>
              <w:jc w:val="both"/>
              <w:rPr>
                <w:rStyle w:val="Marquedecommentaire2"/>
                <w:rFonts w:ascii="Arial" w:hAnsi="Arial" w:cs="Arial"/>
                <w:sz w:val="20"/>
              </w:rPr>
            </w:pPr>
          </w:p>
          <w:p w:rsidR="00684CFE" w:rsidRPr="000B24D6" w:rsidRDefault="00684CFE" w:rsidP="00401DB2">
            <w:pPr>
              <w:pStyle w:val="Normalpucetableau"/>
              <w:numPr>
                <w:ilvl w:val="0"/>
                <w:numId w:val="0"/>
              </w:numPr>
              <w:tabs>
                <w:tab w:val="clear" w:pos="284"/>
                <w:tab w:val="left" w:pos="329"/>
                <w:tab w:val="left" w:pos="1179"/>
              </w:tabs>
              <w:spacing w:after="120"/>
              <w:ind w:left="720"/>
              <w:jc w:val="both"/>
              <w:rPr>
                <w:rStyle w:val="Marquedecommentaire2"/>
                <w:rFonts w:ascii="Arial" w:hAnsi="Arial" w:cs="Arial"/>
                <w:sz w:val="20"/>
                <w:u w:val="single"/>
              </w:rPr>
            </w:pPr>
            <w:r w:rsidRPr="000B24D6">
              <w:rPr>
                <w:rStyle w:val="Marquedecommentaire2"/>
                <w:rFonts w:ascii="Arial" w:hAnsi="Arial" w:cs="Arial"/>
                <w:sz w:val="20"/>
                <w:u w:val="single"/>
              </w:rPr>
              <w:t>Les investissements immatériels :</w:t>
            </w:r>
          </w:p>
          <w:p w:rsidR="00684CFE" w:rsidRPr="000B24D6" w:rsidRDefault="00684CFE" w:rsidP="00401DB2">
            <w:pPr>
              <w:pStyle w:val="Normalpucetableau"/>
              <w:numPr>
                <w:ilvl w:val="0"/>
                <w:numId w:val="7"/>
              </w:numPr>
              <w:tabs>
                <w:tab w:val="left" w:pos="329"/>
              </w:tabs>
              <w:spacing w:after="120"/>
              <w:jc w:val="both"/>
              <w:rPr>
                <w:rStyle w:val="Marquedecommentaire2"/>
                <w:rFonts w:ascii="Arial" w:hAnsi="Arial" w:cs="Arial"/>
                <w:sz w:val="20"/>
              </w:rPr>
            </w:pPr>
            <w:r w:rsidRPr="000B24D6">
              <w:rPr>
                <w:rStyle w:val="Marquedecommentaire2"/>
                <w:rFonts w:ascii="Arial" w:hAnsi="Arial" w:cs="Arial"/>
                <w:sz w:val="20"/>
              </w:rPr>
              <w:t>acquisition ou développement de logiciels informatiques et acquisition de brevets, licences,</w:t>
            </w:r>
          </w:p>
          <w:p w:rsidR="00684CFE" w:rsidRDefault="00684CFE" w:rsidP="00401DB2">
            <w:pPr>
              <w:pStyle w:val="Normalpucetableau"/>
              <w:numPr>
                <w:ilvl w:val="0"/>
                <w:numId w:val="7"/>
              </w:numPr>
              <w:tabs>
                <w:tab w:val="left" w:pos="329"/>
              </w:tabs>
              <w:spacing w:after="120"/>
              <w:jc w:val="both"/>
              <w:textAlignment w:val="auto"/>
              <w:rPr>
                <w:rStyle w:val="Marquedecommentaire2"/>
                <w:rFonts w:ascii="Arial" w:hAnsi="Arial" w:cs="Arial"/>
                <w:sz w:val="20"/>
              </w:rPr>
            </w:pPr>
            <w:r w:rsidRPr="000B24D6">
              <w:rPr>
                <w:rStyle w:val="Marquedecommentaire2"/>
                <w:rFonts w:ascii="Arial" w:hAnsi="Arial" w:cs="Arial"/>
                <w:sz w:val="20"/>
              </w:rPr>
              <w:t>droits auteurs et marques commerciales</w:t>
            </w:r>
            <w:r>
              <w:rPr>
                <w:rStyle w:val="Marquedecommentaire2"/>
                <w:rFonts w:ascii="Arial" w:hAnsi="Arial" w:cs="Arial"/>
                <w:sz w:val="20"/>
              </w:rPr>
              <w:t>,</w:t>
            </w:r>
          </w:p>
          <w:p w:rsidR="00684CFE" w:rsidRPr="00D7640F" w:rsidRDefault="00684CFE" w:rsidP="00401DB2">
            <w:pPr>
              <w:numPr>
                <w:ilvl w:val="0"/>
                <w:numId w:val="7"/>
              </w:numPr>
              <w:tabs>
                <w:tab w:val="left" w:pos="304"/>
              </w:tabs>
              <w:suppressAutoHyphens w:val="0"/>
              <w:spacing w:after="120" w:line="240" w:lineRule="auto"/>
              <w:jc w:val="both"/>
              <w:rPr>
                <w:rStyle w:val="Marquedecommentaire2"/>
              </w:rPr>
            </w:pPr>
            <w:r>
              <w:rPr>
                <w:rFonts w:ascii="Arial" w:hAnsi="Arial" w:cs="Arial"/>
                <w:sz w:val="20"/>
                <w:szCs w:val="20"/>
              </w:rPr>
              <w:t>prestations intellectuelles (par exemple : actions d’information et de communication, études, honoraires).</w:t>
            </w:r>
          </w:p>
          <w:p w:rsidR="00684CFE" w:rsidRPr="000B24D6" w:rsidRDefault="00684CFE" w:rsidP="00401DB2">
            <w:pPr>
              <w:pStyle w:val="Normalpucetableau"/>
              <w:numPr>
                <w:ilvl w:val="0"/>
                <w:numId w:val="0"/>
              </w:numPr>
              <w:tabs>
                <w:tab w:val="left" w:pos="329"/>
              </w:tabs>
              <w:spacing w:after="120"/>
              <w:ind w:left="360"/>
              <w:jc w:val="both"/>
              <w:rPr>
                <w:rStyle w:val="Marquedecommentaire2"/>
                <w:rFonts w:ascii="Arial" w:hAnsi="Arial" w:cs="Arial"/>
                <w:sz w:val="20"/>
              </w:rPr>
            </w:pPr>
          </w:p>
          <w:p w:rsidR="00684CFE" w:rsidRDefault="00684CFE" w:rsidP="00401DB2">
            <w:pPr>
              <w:pStyle w:val="Normalpucetableau"/>
              <w:numPr>
                <w:ilvl w:val="0"/>
                <w:numId w:val="0"/>
              </w:numPr>
              <w:tabs>
                <w:tab w:val="clear" w:pos="284"/>
                <w:tab w:val="left" w:pos="329"/>
                <w:tab w:val="left" w:pos="612"/>
              </w:tabs>
              <w:spacing w:after="120"/>
              <w:ind w:left="720"/>
              <w:jc w:val="both"/>
              <w:rPr>
                <w:rStyle w:val="Marquedecommentaire2"/>
                <w:rFonts w:ascii="Arial" w:hAnsi="Arial" w:cs="Arial"/>
                <w:sz w:val="20"/>
                <w:u w:val="single"/>
              </w:rPr>
            </w:pPr>
            <w:r w:rsidRPr="000B24D6">
              <w:rPr>
                <w:rStyle w:val="Marquedecommentaire2"/>
                <w:rFonts w:ascii="Arial" w:hAnsi="Arial" w:cs="Arial"/>
                <w:sz w:val="20"/>
                <w:u w:val="single"/>
              </w:rPr>
              <w:t>Les frais de fonctionnement :</w:t>
            </w:r>
          </w:p>
          <w:p w:rsidR="00684CFE" w:rsidRPr="00D7640F"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szCs w:val="16"/>
              </w:rPr>
            </w:pPr>
            <w:r w:rsidRPr="00D7640F">
              <w:rPr>
                <w:rFonts w:ascii="Arial" w:hAnsi="Arial" w:cs="Arial"/>
                <w:sz w:val="20"/>
              </w:rPr>
              <w:t>Frais de personnel des structures porteuses de projet pour la mise en place de nouvelles animations ou de nouveaux projets : salaire annuel chargé plafonné à 50 000 € par ETP</w:t>
            </w:r>
            <w:r w:rsidRPr="00D7640F">
              <w:t xml:space="preserve"> dans</w:t>
            </w:r>
            <w:r w:rsidRPr="00D7640F">
              <w:rPr>
                <w:rStyle w:val="Marquedecommentaire2"/>
                <w:rFonts w:ascii="Arial" w:hAnsi="Arial" w:cs="Arial"/>
                <w:sz w:val="20"/>
              </w:rPr>
              <w:t xml:space="preserve"> la limite de 12 mois consécutifs pour une aide au démarrage d’un nouveau projet ou d’une structure</w:t>
            </w:r>
          </w:p>
          <w:p w:rsidR="00684CFE" w:rsidRPr="00B3544A" w:rsidRDefault="00684CFE" w:rsidP="00401DB2">
            <w:pPr>
              <w:numPr>
                <w:ilvl w:val="0"/>
                <w:numId w:val="7"/>
              </w:numPr>
              <w:spacing w:after="120" w:line="240" w:lineRule="auto"/>
              <w:rPr>
                <w:rFonts w:ascii="Arial" w:hAnsi="Arial" w:cs="Arial"/>
                <w:sz w:val="20"/>
                <w:szCs w:val="20"/>
              </w:rPr>
            </w:pPr>
            <w:r>
              <w:rPr>
                <w:rFonts w:ascii="Arial" w:hAnsi="Arial" w:cs="Arial"/>
                <w:sz w:val="20"/>
                <w:szCs w:val="20"/>
              </w:rPr>
              <w:t>frais de mission du personnel des structures porteuses de projet (hébergement, restauration et déplacement) </w:t>
            </w:r>
          </w:p>
          <w:p w:rsidR="00684CFE" w:rsidRDefault="00684CFE" w:rsidP="00401DB2">
            <w:pPr>
              <w:numPr>
                <w:ilvl w:val="0"/>
                <w:numId w:val="7"/>
              </w:numPr>
              <w:spacing w:after="120" w:line="240" w:lineRule="auto"/>
              <w:rPr>
                <w:rFonts w:ascii="Arial" w:hAnsi="Arial" w:cs="Arial"/>
                <w:sz w:val="20"/>
                <w:szCs w:val="20"/>
              </w:rPr>
            </w:pPr>
            <w:r>
              <w:rPr>
                <w:rFonts w:ascii="Arial" w:hAnsi="Arial" w:cs="Arial"/>
                <w:sz w:val="20"/>
                <w:szCs w:val="20"/>
              </w:rPr>
              <w:t>frais annexes : frais d'organisation événementielle, intermittents, communication, location de salle et ou matériel,  frais de bouche, hébergement, déplacements et restauration des intervenants)</w:t>
            </w:r>
          </w:p>
          <w:p w:rsidR="00684CFE" w:rsidRPr="00D7640F" w:rsidRDefault="00684CFE" w:rsidP="00401DB2">
            <w:pPr>
              <w:numPr>
                <w:ilvl w:val="0"/>
                <w:numId w:val="7"/>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684CFE" w:rsidRPr="00F32C35" w:rsidRDefault="00684CFE" w:rsidP="00401DB2">
            <w:pPr>
              <w:spacing w:after="120" w:line="240" w:lineRule="auto"/>
              <w:ind w:left="629"/>
              <w:rPr>
                <w:rFonts w:ascii="Arial" w:hAnsi="Arial" w:cs="Arial"/>
                <w:sz w:val="20"/>
                <w:szCs w:val="20"/>
              </w:rPr>
            </w:pPr>
          </w:p>
          <w:p w:rsidR="00684CFE" w:rsidRPr="000B24D6" w:rsidRDefault="00684CFE" w:rsidP="00401DB2">
            <w:pPr>
              <w:pStyle w:val="Normalpucetableau"/>
              <w:numPr>
                <w:ilvl w:val="0"/>
                <w:numId w:val="0"/>
              </w:numPr>
              <w:tabs>
                <w:tab w:val="clear" w:pos="284"/>
                <w:tab w:val="left" w:pos="329"/>
                <w:tab w:val="left" w:pos="1179"/>
              </w:tabs>
              <w:spacing w:after="120"/>
              <w:jc w:val="both"/>
              <w:rPr>
                <w:rStyle w:val="Marquedecommentaire2"/>
                <w:rFonts w:ascii="Arial" w:hAnsi="Arial" w:cs="Arial"/>
                <w:sz w:val="20"/>
                <w:u w:val="single"/>
              </w:rPr>
            </w:pPr>
          </w:p>
          <w:p w:rsidR="00684CFE" w:rsidRDefault="00684CFE" w:rsidP="00401DB2">
            <w:pPr>
              <w:pStyle w:val="Normalpucetableau"/>
              <w:numPr>
                <w:ilvl w:val="0"/>
                <w:numId w:val="0"/>
              </w:numPr>
              <w:tabs>
                <w:tab w:val="left" w:pos="1179"/>
              </w:tabs>
              <w:spacing w:before="0" w:after="120"/>
              <w:ind w:left="720"/>
              <w:jc w:val="both"/>
            </w:pPr>
            <w:r>
              <w:rPr>
                <w:rStyle w:val="Marquedecommentaire2"/>
                <w:rFonts w:ascii="Arial" w:hAnsi="Arial" w:cs="Arial"/>
                <w:b/>
                <w:sz w:val="20"/>
              </w:rPr>
              <w:t>Coûts</w:t>
            </w:r>
            <w:r>
              <w:rPr>
                <w:rFonts w:ascii="Arial" w:hAnsi="Arial" w:cs="Arial"/>
                <w:b/>
                <w:bCs/>
                <w:sz w:val="20"/>
              </w:rPr>
              <w:t xml:space="preserve"> inéligibles : </w:t>
            </w:r>
          </w:p>
          <w:p w:rsidR="00684CFE" w:rsidRPr="00D7640F"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sidRPr="000B24D6">
              <w:rPr>
                <w:rFonts w:ascii="Arial" w:hAnsi="Arial" w:cs="Arial"/>
                <w:sz w:val="20"/>
              </w:rPr>
              <w:t>Toutes contributions en nature</w:t>
            </w:r>
            <w:r>
              <w:rPr>
                <w:rFonts w:ascii="Arial" w:hAnsi="Arial" w:cs="Arial"/>
                <w:sz w:val="20"/>
              </w:rPr>
              <w:t>,</w:t>
            </w:r>
          </w:p>
          <w:p w:rsidR="00684CFE" w:rsidRPr="000B24D6"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Pr>
                <w:rFonts w:ascii="Arial" w:hAnsi="Arial" w:cs="Arial"/>
                <w:sz w:val="20"/>
              </w:rPr>
              <w:lastRenderedPageBreak/>
              <w:t>a</w:t>
            </w:r>
            <w:r w:rsidRPr="000B24D6">
              <w:rPr>
                <w:rFonts w:ascii="Arial" w:hAnsi="Arial" w:cs="Arial"/>
                <w:sz w:val="20"/>
              </w:rPr>
              <w:t>chat de terrains</w:t>
            </w:r>
            <w:r>
              <w:rPr>
                <w:rFonts w:ascii="Arial" w:hAnsi="Arial" w:cs="Arial"/>
                <w:sz w:val="20"/>
              </w:rPr>
              <w:t>,</w:t>
            </w:r>
          </w:p>
          <w:p w:rsidR="00684CFE" w:rsidRPr="000B24D6"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sidRPr="000B24D6">
              <w:rPr>
                <w:rFonts w:ascii="Arial" w:hAnsi="Arial" w:cs="Arial"/>
                <w:sz w:val="20"/>
              </w:rPr>
              <w:t>gros œuvre</w:t>
            </w:r>
            <w:r>
              <w:rPr>
                <w:rFonts w:ascii="Arial" w:hAnsi="Arial" w:cs="Arial"/>
                <w:sz w:val="20"/>
              </w:rPr>
              <w:t>,</w:t>
            </w:r>
          </w:p>
          <w:p w:rsidR="00684CFE" w:rsidRPr="000B24D6"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sidRPr="00D7640F">
              <w:rPr>
                <w:rFonts w:ascii="Arial" w:hAnsi="Arial" w:cs="Arial"/>
                <w:sz w:val="20"/>
              </w:rPr>
              <w:t xml:space="preserve">travaux d’aménagement de </w:t>
            </w:r>
            <w:r w:rsidRPr="000B24D6">
              <w:rPr>
                <w:rFonts w:ascii="Arial" w:hAnsi="Arial" w:cs="Arial"/>
                <w:sz w:val="20"/>
              </w:rPr>
              <w:t>parkings et VRD (voirie et réseaux divers)</w:t>
            </w:r>
            <w:r>
              <w:rPr>
                <w:rFonts w:ascii="Arial" w:hAnsi="Arial" w:cs="Arial"/>
                <w:sz w:val="20"/>
              </w:rPr>
              <w:t>,</w:t>
            </w:r>
          </w:p>
          <w:p w:rsidR="00684CFE" w:rsidRPr="000B24D6"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sidRPr="000B24D6">
              <w:rPr>
                <w:rFonts w:ascii="Arial" w:hAnsi="Arial" w:cs="Arial"/>
                <w:sz w:val="20"/>
              </w:rPr>
              <w:t>frais d'actes et de contentieux, écotaxes, frais de port</w:t>
            </w:r>
            <w:r>
              <w:rPr>
                <w:rFonts w:ascii="Arial" w:hAnsi="Arial" w:cs="Arial"/>
                <w:sz w:val="20"/>
              </w:rPr>
              <w:t>,</w:t>
            </w:r>
          </w:p>
          <w:p w:rsidR="00684CFE" w:rsidRPr="000B24D6"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Pr>
                <w:rFonts w:ascii="Arial" w:hAnsi="Arial" w:cs="Arial"/>
                <w:sz w:val="20"/>
              </w:rPr>
              <w:t xml:space="preserve">coûts de structure, </w:t>
            </w:r>
            <w:r w:rsidRPr="000B24D6">
              <w:rPr>
                <w:rFonts w:ascii="Arial" w:hAnsi="Arial" w:cs="Arial"/>
                <w:sz w:val="20"/>
              </w:rPr>
              <w:t>à savoir location régulière de locaux, électricité, télécom, chauffage, assurances, l</w:t>
            </w:r>
            <w:r>
              <w:rPr>
                <w:rFonts w:ascii="Arial" w:hAnsi="Arial" w:cs="Arial"/>
                <w:sz w:val="20"/>
              </w:rPr>
              <w:t>es fournitures administratives</w:t>
            </w:r>
            <w:r w:rsidRPr="000B24D6">
              <w:rPr>
                <w:rFonts w:ascii="Arial" w:hAnsi="Arial" w:cs="Arial"/>
                <w:sz w:val="20"/>
              </w:rPr>
              <w:t xml:space="preserve"> et tout autre frais d’entretien de locaux et de matériels,</w:t>
            </w:r>
          </w:p>
          <w:p w:rsidR="00684CFE" w:rsidRPr="00D7640F" w:rsidRDefault="00684CFE" w:rsidP="00401DB2">
            <w:pPr>
              <w:pStyle w:val="Normalpucetableau"/>
              <w:numPr>
                <w:ilvl w:val="0"/>
                <w:numId w:val="7"/>
              </w:numPr>
              <w:tabs>
                <w:tab w:val="clear" w:pos="284"/>
                <w:tab w:val="left" w:pos="329"/>
              </w:tabs>
              <w:spacing w:after="120"/>
              <w:jc w:val="both"/>
              <w:textAlignment w:val="auto"/>
              <w:rPr>
                <w:rFonts w:ascii="Arial" w:hAnsi="Arial" w:cs="Arial"/>
                <w:sz w:val="20"/>
              </w:rPr>
            </w:pPr>
            <w:r w:rsidRPr="000B24D6">
              <w:rPr>
                <w:rFonts w:ascii="Arial" w:hAnsi="Arial" w:cs="Arial"/>
                <w:sz w:val="20"/>
              </w:rPr>
              <w:t xml:space="preserve">frais </w:t>
            </w:r>
            <w:r>
              <w:rPr>
                <w:rFonts w:ascii="Arial" w:hAnsi="Arial" w:cs="Arial"/>
                <w:sz w:val="20"/>
              </w:rPr>
              <w:t xml:space="preserve">de personnel </w:t>
            </w:r>
            <w:r w:rsidRPr="000B24D6">
              <w:rPr>
                <w:rFonts w:ascii="Arial" w:hAnsi="Arial" w:cs="Arial"/>
                <w:sz w:val="20"/>
              </w:rPr>
              <w:t>des emplois ou contrats aidés</w:t>
            </w:r>
            <w:r>
              <w:rPr>
                <w:rFonts w:ascii="Arial" w:hAnsi="Arial" w:cs="Arial"/>
                <w:sz w:val="20"/>
              </w:rPr>
              <w:t>,</w:t>
            </w:r>
          </w:p>
          <w:p w:rsidR="00684CFE" w:rsidRDefault="00684CFE" w:rsidP="00401DB2">
            <w:pPr>
              <w:pStyle w:val="Normalpucetableau"/>
              <w:numPr>
                <w:ilvl w:val="0"/>
                <w:numId w:val="7"/>
              </w:numPr>
              <w:tabs>
                <w:tab w:val="clear" w:pos="284"/>
                <w:tab w:val="left" w:pos="329"/>
              </w:tabs>
              <w:spacing w:after="120"/>
              <w:jc w:val="both"/>
              <w:textAlignment w:val="auto"/>
            </w:pPr>
            <w:r w:rsidRPr="00D7640F">
              <w:rPr>
                <w:rFonts w:ascii="Arial" w:hAnsi="Arial" w:cs="Arial"/>
                <w:sz w:val="20"/>
              </w:rPr>
              <w:t>TVA lorsqu’elle est totalement ou partiellement récupérée.</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lastRenderedPageBreak/>
              <w:t>7. Conditions d’admissibilité</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D7640F" w:rsidRDefault="00684CFE" w:rsidP="00401DB2">
            <w:pPr>
              <w:pStyle w:val="Normalpucetableau"/>
              <w:numPr>
                <w:ilvl w:val="0"/>
                <w:numId w:val="6"/>
              </w:numPr>
              <w:tabs>
                <w:tab w:val="left" w:pos="6756"/>
              </w:tabs>
              <w:spacing w:after="120"/>
              <w:jc w:val="both"/>
              <w:rPr>
                <w:rFonts w:ascii="Arial" w:hAnsi="Arial" w:cs="Arial"/>
                <w:sz w:val="20"/>
              </w:rPr>
            </w:pPr>
            <w:r w:rsidRPr="00D7640F">
              <w:rPr>
                <w:rFonts w:ascii="Arial" w:hAnsi="Arial" w:cs="Arial"/>
                <w:sz w:val="20"/>
              </w:rPr>
              <w:t>Respecter les règles nationales d’éligibilité des dépenses et le cas échéant, le régime d’aide d’État applicable ;</w:t>
            </w:r>
          </w:p>
          <w:p w:rsidR="00684CFE" w:rsidRPr="00D7640F" w:rsidRDefault="00684CFE" w:rsidP="00401DB2">
            <w:pPr>
              <w:pStyle w:val="Normalpucetableau"/>
              <w:numPr>
                <w:ilvl w:val="0"/>
                <w:numId w:val="6"/>
              </w:numPr>
              <w:tabs>
                <w:tab w:val="left" w:pos="6756"/>
              </w:tabs>
              <w:spacing w:after="120"/>
              <w:jc w:val="both"/>
              <w:rPr>
                <w:rFonts w:ascii="Arial" w:hAnsi="Arial" w:cs="Arial"/>
                <w:sz w:val="20"/>
              </w:rPr>
            </w:pPr>
            <w:r w:rsidRPr="00D7640F">
              <w:rPr>
                <w:rFonts w:ascii="Arial" w:hAnsi="Arial" w:cs="Arial"/>
                <w:sz w:val="20"/>
              </w:rPr>
              <w:t>Respecter les obligations de mise en concurrence dont les règles relatives à la passation des marchés publics pour les personnes publiques , ou le régime de l’ordonnance n° 2005-649 du 6 juin 2005 relatif aux marchés passés par certaines personnes publiques ou privées non soumises au code des marchés publics et de ses décrets.</w:t>
            </w:r>
          </w:p>
          <w:p w:rsidR="00684CFE" w:rsidRPr="00D7640F" w:rsidRDefault="00684CFE" w:rsidP="00401DB2">
            <w:pPr>
              <w:pStyle w:val="Normalpucetableau"/>
              <w:numPr>
                <w:ilvl w:val="0"/>
                <w:numId w:val="6"/>
              </w:numPr>
              <w:tabs>
                <w:tab w:val="left" w:pos="6756"/>
              </w:tabs>
              <w:spacing w:after="120"/>
              <w:jc w:val="both"/>
              <w:rPr>
                <w:rFonts w:ascii="Arial" w:hAnsi="Arial" w:cs="Arial"/>
                <w:sz w:val="20"/>
              </w:rPr>
            </w:pPr>
            <w:r w:rsidRPr="00D7640F">
              <w:rPr>
                <w:rFonts w:ascii="Arial" w:hAnsi="Arial" w:cs="Arial"/>
                <w:sz w:val="20"/>
              </w:rPr>
              <w:t xml:space="preserve">Respecter les conditions d’éligibilité additionnelles, suivantes, définies par le GAL : </w:t>
            </w:r>
          </w:p>
          <w:p w:rsidR="00684CFE" w:rsidRPr="002C5477" w:rsidRDefault="00684CFE"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sidRPr="002C5477">
              <w:rPr>
                <w:rFonts w:ascii="Arial" w:hAnsi="Arial" w:cs="Arial"/>
                <w:sz w:val="20"/>
              </w:rPr>
              <w:t>Un bénéficiaire est éligible même s’il n’est pas administrativement domicilié dans le périmètre du GAL dès lors que l’opération a lieu sur le territoire ;</w:t>
            </w:r>
          </w:p>
          <w:p w:rsidR="00684CFE" w:rsidRPr="002C5477" w:rsidRDefault="00684CFE"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sidRPr="002C5477">
              <w:rPr>
                <w:rFonts w:ascii="Arial" w:hAnsi="Arial" w:cs="Arial"/>
                <w:sz w:val="20"/>
              </w:rPr>
              <w:t xml:space="preserve">Lorsque le projet porte sur un territoire plus vaste que le périmètre du GAL, les dépenses éligibles retenues sont proratisées via une clé de répartition selon la nature de l’opération. </w:t>
            </w:r>
          </w:p>
          <w:p w:rsidR="00684CFE" w:rsidRPr="002C5477" w:rsidRDefault="00684CFE"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sidRPr="002C5477">
              <w:rPr>
                <w:rFonts w:ascii="Arial" w:hAnsi="Arial" w:cs="Arial"/>
                <w:sz w:val="20"/>
              </w:rPr>
              <w:t xml:space="preserve">Les dépenses effectuées hors du territoire sont éligibles à condition que le bénéficiaire soit domicilié sur les communes du GAL ou/et que le projet bénéficie au territoire. </w:t>
            </w:r>
          </w:p>
          <w:p w:rsidR="00684CFE" w:rsidRDefault="00684CFE" w:rsidP="00401DB2">
            <w:pPr>
              <w:pStyle w:val="Normalpucetableau"/>
              <w:numPr>
                <w:ilvl w:val="0"/>
                <w:numId w:val="0"/>
              </w:numPr>
              <w:tabs>
                <w:tab w:val="left" w:pos="6756"/>
              </w:tabs>
              <w:spacing w:after="120"/>
              <w:ind w:left="360"/>
              <w:jc w:val="both"/>
            </w:pP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t>8. Principes applicables à l’établissement des critères de sélection</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684CFE" w:rsidRDefault="00684CFE" w:rsidP="00401DB2">
            <w:pPr>
              <w:pStyle w:val="Normalpucetableau"/>
              <w:numPr>
                <w:ilvl w:val="0"/>
                <w:numId w:val="0"/>
              </w:numPr>
              <w:tabs>
                <w:tab w:val="left" w:pos="724"/>
              </w:tabs>
              <w:spacing w:before="0" w:after="120"/>
              <w:ind w:left="360" w:hanging="360"/>
              <w:jc w:val="both"/>
              <w:rPr>
                <w:rFonts w:ascii="Arial" w:hAnsi="Arial" w:cs="Arial"/>
                <w:sz w:val="20"/>
              </w:rPr>
            </w:pPr>
            <w:r>
              <w:rPr>
                <w:rFonts w:ascii="Arial" w:hAnsi="Arial" w:cs="Arial"/>
                <w:sz w:val="20"/>
              </w:rPr>
              <w:t>Les principes permettant de fixer les critères de sélection, définis par le GAL, sont les suivants :</w:t>
            </w:r>
          </w:p>
          <w:p w:rsidR="00684CFE" w:rsidRDefault="00684CFE" w:rsidP="00401DB2">
            <w:pPr>
              <w:pStyle w:val="Normalpucetableau"/>
              <w:numPr>
                <w:ilvl w:val="0"/>
                <w:numId w:val="8"/>
              </w:numPr>
              <w:tabs>
                <w:tab w:val="left" w:pos="6756"/>
              </w:tabs>
              <w:spacing w:after="120"/>
              <w:jc w:val="both"/>
              <w:rPr>
                <w:rFonts w:ascii="Arial" w:hAnsi="Arial" w:cs="Arial"/>
                <w:sz w:val="20"/>
              </w:rPr>
            </w:pPr>
            <w:r>
              <w:rPr>
                <w:rFonts w:ascii="Arial" w:hAnsi="Arial" w:cs="Arial"/>
                <w:sz w:val="20"/>
              </w:rPr>
              <w:t xml:space="preserve">L'adéquation avec la stratégie locale de développement, </w:t>
            </w:r>
          </w:p>
          <w:p w:rsidR="00684CFE" w:rsidRDefault="00684CFE" w:rsidP="00401DB2">
            <w:pPr>
              <w:pStyle w:val="Normalpucetableau"/>
              <w:numPr>
                <w:ilvl w:val="0"/>
                <w:numId w:val="8"/>
              </w:numPr>
              <w:tabs>
                <w:tab w:val="left" w:pos="6756"/>
              </w:tabs>
              <w:spacing w:after="120"/>
              <w:jc w:val="both"/>
              <w:rPr>
                <w:rFonts w:ascii="Arial" w:hAnsi="Arial" w:cs="Arial"/>
                <w:sz w:val="20"/>
              </w:rPr>
            </w:pPr>
            <w:r>
              <w:rPr>
                <w:rFonts w:ascii="Arial" w:hAnsi="Arial" w:cs="Arial"/>
                <w:sz w:val="20"/>
              </w:rPr>
              <w:t xml:space="preserve">le caractère innovant du projet, </w:t>
            </w:r>
          </w:p>
          <w:p w:rsidR="00684CFE" w:rsidRDefault="00684CFE" w:rsidP="00401DB2">
            <w:pPr>
              <w:pStyle w:val="Normalpucetableau"/>
              <w:numPr>
                <w:ilvl w:val="0"/>
                <w:numId w:val="8"/>
              </w:numPr>
              <w:tabs>
                <w:tab w:val="left" w:pos="6756"/>
              </w:tabs>
              <w:spacing w:after="120"/>
              <w:jc w:val="both"/>
              <w:rPr>
                <w:rFonts w:ascii="Arial" w:hAnsi="Arial" w:cs="Arial"/>
                <w:sz w:val="20"/>
              </w:rPr>
            </w:pPr>
            <w:r>
              <w:rPr>
                <w:rFonts w:ascii="Arial" w:hAnsi="Arial" w:cs="Arial"/>
                <w:sz w:val="20"/>
              </w:rPr>
              <w:t>la mutualisation des moyens et des équipements,</w:t>
            </w:r>
          </w:p>
          <w:p w:rsidR="00684CFE" w:rsidRDefault="00684CFE" w:rsidP="00401DB2">
            <w:pPr>
              <w:pStyle w:val="Normalpucetableau"/>
              <w:numPr>
                <w:ilvl w:val="0"/>
                <w:numId w:val="8"/>
              </w:numPr>
              <w:tabs>
                <w:tab w:val="left" w:pos="6756"/>
              </w:tabs>
              <w:spacing w:after="120"/>
              <w:jc w:val="both"/>
              <w:rPr>
                <w:rFonts w:ascii="Arial" w:hAnsi="Arial" w:cs="Arial"/>
                <w:sz w:val="20"/>
              </w:rPr>
            </w:pPr>
            <w:r>
              <w:rPr>
                <w:rFonts w:ascii="Arial" w:hAnsi="Arial" w:cs="Arial"/>
                <w:sz w:val="20"/>
              </w:rPr>
              <w:t>la démarche partenariale,</w:t>
            </w:r>
          </w:p>
          <w:p w:rsidR="00684CFE" w:rsidRDefault="00684CFE" w:rsidP="00401DB2">
            <w:pPr>
              <w:pStyle w:val="Normalpucetableau"/>
              <w:numPr>
                <w:ilvl w:val="0"/>
                <w:numId w:val="8"/>
              </w:numPr>
              <w:tabs>
                <w:tab w:val="left" w:pos="6756"/>
              </w:tabs>
              <w:spacing w:after="120"/>
              <w:jc w:val="both"/>
              <w:rPr>
                <w:rFonts w:ascii="Arial" w:hAnsi="Arial" w:cs="Arial"/>
                <w:sz w:val="20"/>
              </w:rPr>
            </w:pPr>
            <w:r>
              <w:rPr>
                <w:rFonts w:ascii="Arial" w:hAnsi="Arial" w:cs="Arial"/>
                <w:sz w:val="20"/>
              </w:rPr>
              <w:t>les retombées en matière de création de valeur, d'activités et d'emplois,</w:t>
            </w:r>
          </w:p>
          <w:p w:rsidR="00684CFE" w:rsidRDefault="00684CFE" w:rsidP="00401DB2">
            <w:pPr>
              <w:pStyle w:val="Normalpucetableau"/>
              <w:numPr>
                <w:ilvl w:val="0"/>
                <w:numId w:val="8"/>
              </w:numPr>
              <w:tabs>
                <w:tab w:val="left" w:pos="6756"/>
              </w:tabs>
              <w:spacing w:after="120"/>
              <w:jc w:val="both"/>
            </w:pPr>
            <w:r>
              <w:rPr>
                <w:rFonts w:ascii="Arial" w:hAnsi="Arial" w:cs="Arial"/>
                <w:sz w:val="20"/>
              </w:rPr>
              <w:t>La contribution aux enjeux du développement durable : efficacité économique, équité sociale, qualité environnementale</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t>9. Montants et taux d’aide applicables</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pStyle w:val="Normalpucetableau"/>
              <w:numPr>
                <w:ilvl w:val="0"/>
                <w:numId w:val="0"/>
              </w:numPr>
              <w:tabs>
                <w:tab w:val="left" w:pos="6756"/>
              </w:tabs>
              <w:spacing w:before="0" w:after="120"/>
              <w:jc w:val="both"/>
              <w:rPr>
                <w:rFonts w:ascii="Arial" w:hAnsi="Arial" w:cs="Arial"/>
                <w:sz w:val="20"/>
                <w:u w:val="single"/>
              </w:rPr>
            </w:pPr>
            <w:r>
              <w:rPr>
                <w:rFonts w:ascii="Arial" w:hAnsi="Arial" w:cs="Arial"/>
                <w:sz w:val="20"/>
                <w:u w:val="single"/>
              </w:rPr>
              <w:t>- Taux de cofinancement du FEADER</w:t>
            </w:r>
            <w:r>
              <w:rPr>
                <w:rFonts w:ascii="Arial" w:hAnsi="Arial" w:cs="Arial"/>
                <w:sz w:val="20"/>
              </w:rPr>
              <w:t> : 80%.</w:t>
            </w:r>
          </w:p>
          <w:p w:rsidR="00684CFE" w:rsidRDefault="00684CFE"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maximum d’aide publique :</w:t>
            </w:r>
          </w:p>
          <w:p w:rsidR="00684CFE" w:rsidRDefault="00684CFE" w:rsidP="00401DB2">
            <w:pPr>
              <w:pStyle w:val="Normalpucetableau"/>
              <w:numPr>
                <w:ilvl w:val="0"/>
                <w:numId w:val="0"/>
              </w:numPr>
              <w:tabs>
                <w:tab w:val="clear" w:pos="284"/>
                <w:tab w:val="left" w:pos="0"/>
                <w:tab w:val="left" w:pos="6756"/>
              </w:tabs>
              <w:spacing w:before="0" w:after="120"/>
              <w:jc w:val="both"/>
              <w:rPr>
                <w:rFonts w:ascii="Arial" w:hAnsi="Arial" w:cs="Arial"/>
                <w:sz w:val="20"/>
              </w:rPr>
            </w:pPr>
            <w:r>
              <w:rPr>
                <w:rFonts w:ascii="Arial" w:hAnsi="Arial" w:cs="Arial"/>
                <w:sz w:val="20"/>
              </w:rPr>
              <w:t>L’Autorité de gestion demande un autofinancement minimum de 20% du maître d’ouvrage, ainsi :</w:t>
            </w:r>
          </w:p>
          <w:p w:rsidR="00684CFE" w:rsidRDefault="00684CFE" w:rsidP="00401DB2">
            <w:pPr>
              <w:pStyle w:val="Normalpucetableau"/>
              <w:numPr>
                <w:ilvl w:val="0"/>
                <w:numId w:val="10"/>
              </w:numPr>
              <w:spacing w:after="120"/>
              <w:jc w:val="both"/>
              <w:textAlignment w:val="auto"/>
              <w:rPr>
                <w:rFonts w:ascii="Arial" w:hAnsi="Arial" w:cs="Arial"/>
                <w:sz w:val="20"/>
              </w:rPr>
            </w:pPr>
            <w:r>
              <w:rPr>
                <w:rFonts w:ascii="Arial" w:hAnsi="Arial" w:cs="Arial"/>
                <w:sz w:val="20"/>
              </w:rPr>
              <w:lastRenderedPageBreak/>
              <w:t>le taux d’aide publique peut aller jusqu’à 100% dans le respect de l’encadrement des aides d’État lorsque le maître d’ouvrage est public;</w:t>
            </w:r>
          </w:p>
          <w:p w:rsidR="00684CFE" w:rsidRDefault="00684CFE" w:rsidP="00401DB2">
            <w:pPr>
              <w:pStyle w:val="Normalpucetableau"/>
              <w:numPr>
                <w:ilvl w:val="0"/>
                <w:numId w:val="10"/>
              </w:numPr>
              <w:spacing w:after="120"/>
              <w:jc w:val="both"/>
              <w:textAlignment w:val="auto"/>
              <w:rPr>
                <w:rFonts w:ascii="Arial" w:hAnsi="Arial" w:cs="Arial"/>
                <w:sz w:val="20"/>
              </w:rPr>
            </w:pPr>
            <w:r>
              <w:rPr>
                <w:rFonts w:ascii="Arial" w:hAnsi="Arial" w:cs="Arial"/>
                <w:sz w:val="20"/>
              </w:rPr>
              <w:t xml:space="preserve">le taux d’aide publique peut aller jusqu’à 80% dans le respect de l’encadrement des aides d’État lorsque le maître d’ouvrage est privé </w:t>
            </w:r>
          </w:p>
          <w:p w:rsidR="00684CFE" w:rsidRDefault="00684CFE" w:rsidP="00401DB2">
            <w:pPr>
              <w:pStyle w:val="Normalpucetableau"/>
              <w:numPr>
                <w:ilvl w:val="0"/>
                <w:numId w:val="0"/>
              </w:numPr>
              <w:tabs>
                <w:tab w:val="clear" w:pos="284"/>
                <w:tab w:val="left" w:pos="0"/>
                <w:tab w:val="left" w:pos="6756"/>
              </w:tabs>
              <w:spacing w:before="0" w:after="120"/>
              <w:jc w:val="both"/>
              <w:rPr>
                <w:rFonts w:ascii="Arial" w:hAnsi="Arial" w:cs="Arial"/>
              </w:rPr>
            </w:pPr>
          </w:p>
          <w:p w:rsidR="00684CFE" w:rsidRDefault="00684CFE" w:rsidP="00401DB2">
            <w:pPr>
              <w:pStyle w:val="Normalpucetableau"/>
              <w:numPr>
                <w:ilvl w:val="0"/>
                <w:numId w:val="1"/>
              </w:numPr>
              <w:tabs>
                <w:tab w:val="clear" w:pos="720"/>
                <w:tab w:val="num" w:pos="360"/>
                <w:tab w:val="left" w:pos="6756"/>
              </w:tabs>
              <w:spacing w:before="0" w:after="120"/>
              <w:ind w:left="360"/>
              <w:jc w:val="both"/>
              <w:rPr>
                <w:rStyle w:val="Marquedecommentaire2"/>
                <w:rFonts w:ascii="Arial" w:hAnsi="Arial" w:cs="Arial"/>
                <w:b/>
                <w:color w:val="000000"/>
                <w:sz w:val="20"/>
              </w:rPr>
            </w:pPr>
            <w:r>
              <w:rPr>
                <w:rFonts w:ascii="Arial" w:hAnsi="Arial" w:cs="Arial"/>
                <w:sz w:val="20"/>
                <w:u w:val="single"/>
              </w:rPr>
              <w:t>- Autres modalités de financement, le cas échéant (plafonds, planchers,…) :</w:t>
            </w:r>
          </w:p>
          <w:p w:rsidR="00684CFE" w:rsidRDefault="00684CFE" w:rsidP="00401DB2">
            <w:pPr>
              <w:tabs>
                <w:tab w:val="left" w:pos="6756"/>
              </w:tabs>
              <w:spacing w:after="120" w:line="240" w:lineRule="auto"/>
              <w:jc w:val="both"/>
              <w:rPr>
                <w:rStyle w:val="Marquedecommentaire2"/>
                <w:rFonts w:ascii="Arial" w:hAnsi="Arial" w:cs="Arial"/>
                <w:b/>
                <w:bCs/>
                <w:color w:val="000000"/>
                <w:sz w:val="20"/>
                <w:szCs w:val="20"/>
              </w:rPr>
            </w:pPr>
            <w:r>
              <w:rPr>
                <w:rStyle w:val="Marquedecommentaire2"/>
                <w:rFonts w:ascii="Arial" w:hAnsi="Arial" w:cs="Arial"/>
                <w:b/>
                <w:color w:val="000000"/>
                <w:sz w:val="20"/>
                <w:szCs w:val="20"/>
              </w:rPr>
              <w:t xml:space="preserve">Seuil </w:t>
            </w:r>
            <w:proofErr w:type="gramStart"/>
            <w:r>
              <w:rPr>
                <w:rStyle w:val="Marquedecommentaire2"/>
                <w:rFonts w:ascii="Arial" w:hAnsi="Arial" w:cs="Arial"/>
                <w:b/>
                <w:color w:val="000000"/>
                <w:sz w:val="20"/>
                <w:szCs w:val="20"/>
              </w:rPr>
              <w:t>plancher</w:t>
            </w:r>
            <w:proofErr w:type="gramEnd"/>
            <w:r>
              <w:rPr>
                <w:rStyle w:val="Marquedecommentaire2"/>
                <w:rFonts w:ascii="Arial" w:hAnsi="Arial" w:cs="Arial"/>
                <w:color w:val="000000"/>
                <w:sz w:val="20"/>
                <w:szCs w:val="20"/>
              </w:rPr>
              <w:t xml:space="preserve"> : le projet doit présenter 3000 € de dépenses éligibles au titre de la fiche action et le soutien FEADER sera à minima de 1 000 € </w:t>
            </w:r>
          </w:p>
          <w:p w:rsidR="00684CFE" w:rsidRDefault="00684CFE" w:rsidP="00401DB2">
            <w:pPr>
              <w:tabs>
                <w:tab w:val="left" w:pos="6756"/>
              </w:tabs>
              <w:spacing w:after="120" w:line="240" w:lineRule="auto"/>
              <w:jc w:val="both"/>
              <w:rPr>
                <w:rFonts w:ascii="Arial" w:hAnsi="Arial" w:cs="Arial"/>
                <w:sz w:val="20"/>
                <w:shd w:val="clear" w:color="auto" w:fill="CCCCCC"/>
              </w:rPr>
            </w:pPr>
            <w:r>
              <w:rPr>
                <w:rStyle w:val="Marquedecommentaire2"/>
                <w:rFonts w:ascii="Arial" w:hAnsi="Arial" w:cs="Arial"/>
                <w:b/>
                <w:bCs/>
                <w:color w:val="000000"/>
                <w:sz w:val="20"/>
                <w:szCs w:val="20"/>
              </w:rPr>
              <w:t>Le plafond</w:t>
            </w:r>
            <w:r>
              <w:rPr>
                <w:rStyle w:val="Marquedecommentaire2"/>
                <w:rFonts w:ascii="Arial" w:hAnsi="Arial" w:cs="Arial"/>
                <w:color w:val="000000"/>
                <w:sz w:val="20"/>
                <w:szCs w:val="20"/>
              </w:rPr>
              <w:t xml:space="preserve"> de FEADER est fixé à 100 000 € par projet. </w:t>
            </w:r>
          </w:p>
          <w:p w:rsidR="00684CFE" w:rsidRDefault="00684CFE" w:rsidP="00401DB2">
            <w:pPr>
              <w:pStyle w:val="Normalpucetableau"/>
              <w:numPr>
                <w:ilvl w:val="0"/>
                <w:numId w:val="0"/>
              </w:numPr>
              <w:tabs>
                <w:tab w:val="left" w:pos="6756"/>
              </w:tabs>
              <w:spacing w:before="0" w:after="120"/>
              <w:jc w:val="both"/>
              <w:rPr>
                <w:rFonts w:ascii="Arial" w:hAnsi="Arial" w:cs="Arial"/>
                <w:sz w:val="20"/>
                <w:shd w:val="clear" w:color="auto" w:fill="CCCCCC"/>
              </w:rPr>
            </w:pPr>
          </w:p>
          <w:p w:rsidR="00684CFE" w:rsidRDefault="00684CFE"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Règles relatives aux aides d’État :</w:t>
            </w:r>
          </w:p>
          <w:p w:rsidR="00684CFE" w:rsidRDefault="00684CFE"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Pour les projets ne relevant pas de l’article 42 du Traité de fonctionnement de l’Union européenne (TFUE) et dont le financement est soumis aux règles d’État, il sera utilisé :</w:t>
            </w:r>
          </w:p>
          <w:p w:rsidR="00684CFE" w:rsidRDefault="00684CFE" w:rsidP="00401DB2">
            <w:pPr>
              <w:pStyle w:val="Normalpucetableau"/>
              <w:numPr>
                <w:ilvl w:val="0"/>
                <w:numId w:val="9"/>
              </w:numPr>
              <w:tabs>
                <w:tab w:val="left" w:pos="754"/>
              </w:tabs>
              <w:spacing w:before="0" w:after="120"/>
              <w:jc w:val="both"/>
              <w:rPr>
                <w:rFonts w:ascii="Arial" w:hAnsi="Arial" w:cs="Arial"/>
                <w:sz w:val="20"/>
              </w:rPr>
            </w:pPr>
            <w:r>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684CFE" w:rsidRDefault="00684CFE" w:rsidP="00401DB2">
            <w:pPr>
              <w:pStyle w:val="Normalpucetableau"/>
              <w:numPr>
                <w:ilvl w:val="0"/>
                <w:numId w:val="9"/>
              </w:numPr>
              <w:tabs>
                <w:tab w:val="left" w:pos="754"/>
              </w:tabs>
              <w:spacing w:before="0" w:after="120"/>
              <w:jc w:val="both"/>
              <w:rPr>
                <w:rFonts w:ascii="Arial" w:hAnsi="Arial" w:cs="Arial"/>
                <w:sz w:val="20"/>
              </w:rPr>
            </w:pPr>
            <w:r>
              <w:rPr>
                <w:rFonts w:ascii="Arial" w:hAnsi="Arial" w:cs="Arial"/>
                <w:sz w:val="20"/>
              </w:rPr>
              <w:t xml:space="preserve">ou un régime notifié en vertu de l’article 108, paragraphe 3 du TFUE ; </w:t>
            </w:r>
          </w:p>
          <w:p w:rsidR="00684CFE" w:rsidRDefault="00684CFE" w:rsidP="00401DB2">
            <w:pPr>
              <w:pStyle w:val="Normalpucetableau"/>
              <w:numPr>
                <w:ilvl w:val="0"/>
                <w:numId w:val="9"/>
              </w:numPr>
              <w:tabs>
                <w:tab w:val="left" w:pos="754"/>
              </w:tabs>
              <w:spacing w:before="0" w:after="120"/>
              <w:jc w:val="both"/>
              <w:rPr>
                <w:rFonts w:ascii="Arial" w:hAnsi="Arial" w:cs="Arial"/>
                <w:sz w:val="20"/>
              </w:rPr>
            </w:pPr>
            <w:r>
              <w:rPr>
                <w:rFonts w:ascii="Arial" w:hAnsi="Arial" w:cs="Arial"/>
                <w:sz w:val="20"/>
              </w:rPr>
              <w:t xml:space="preserve">ou le règlement (UE) n° 1407/2013 de la Commission du 18 décembre 2013 relatif à l’application des articles 107 et 108 du TFUE aux aides de </w:t>
            </w:r>
            <w:proofErr w:type="spellStart"/>
            <w:r>
              <w:rPr>
                <w:rFonts w:ascii="Arial" w:hAnsi="Arial" w:cs="Arial"/>
                <w:sz w:val="20"/>
              </w:rPr>
              <w:t>minimis</w:t>
            </w:r>
            <w:proofErr w:type="spellEnd"/>
            <w:r>
              <w:rPr>
                <w:rFonts w:ascii="Arial" w:hAnsi="Arial" w:cs="Arial"/>
                <w:sz w:val="20"/>
              </w:rPr>
              <w:t xml:space="preserve">. </w:t>
            </w:r>
          </w:p>
          <w:p w:rsidR="00684CFE" w:rsidRDefault="00684CFE"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Dans ce cas, l’aide maximale selon ces règles est d’application, dans la limite du taux d’aide mentionné ci-dessus. En cas de différence de taux d'aide entre celui prévu par le règlement 1305/2013 et celui prévu par les règles d'aide d’État, le taux le plus faible s'applique.</w:t>
            </w:r>
          </w:p>
          <w:p w:rsidR="00684CFE" w:rsidRDefault="00684CFE" w:rsidP="00401DB2">
            <w:pPr>
              <w:pStyle w:val="Normalpucetableau"/>
              <w:numPr>
                <w:ilvl w:val="0"/>
                <w:numId w:val="0"/>
              </w:numPr>
              <w:tabs>
                <w:tab w:val="left" w:pos="6756"/>
              </w:tabs>
              <w:spacing w:before="0" w:after="120"/>
              <w:jc w:val="both"/>
              <w:rPr>
                <w:rFonts w:ascii="Arial" w:hAnsi="Arial" w:cs="Arial"/>
                <w:sz w:val="20"/>
              </w:rPr>
            </w:pP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caps/>
                <w:sz w:val="20"/>
                <w:szCs w:val="20"/>
              </w:rPr>
              <w:lastRenderedPageBreak/>
              <w:t>10. Informations spécifiques sur la fiche-action</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tabs>
                <w:tab w:val="left" w:pos="6756"/>
              </w:tabs>
              <w:spacing w:before="120" w:after="120" w:line="240" w:lineRule="auto"/>
            </w:pPr>
            <w:r>
              <w:rPr>
                <w:rFonts w:ascii="Arial" w:hAnsi="Arial" w:cs="Arial"/>
                <w:b/>
                <w:sz w:val="20"/>
                <w:szCs w:val="20"/>
              </w:rPr>
              <w:t>a) Lignes de complémentarité avec les autres dispositifs du PDRR, avec les dispositifs des autres fonds européens (PO FEDER/FSE, POI FEDER Massif Central, POI FEDER Loire)</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pStyle w:val="Normalgauche"/>
              <w:tabs>
                <w:tab w:val="left" w:pos="6756"/>
              </w:tabs>
              <w:snapToGrid w:val="0"/>
              <w:spacing w:after="120"/>
              <w:jc w:val="both"/>
              <w:rPr>
                <w:rFonts w:ascii="Arial" w:hAnsi="Arial"/>
                <w:sz w:val="20"/>
              </w:rPr>
            </w:pPr>
          </w:p>
          <w:p w:rsidR="00684CFE" w:rsidRDefault="00684CFE" w:rsidP="00401DB2">
            <w:pPr>
              <w:pStyle w:val="Normalgauche"/>
              <w:tabs>
                <w:tab w:val="left" w:pos="6756"/>
              </w:tabs>
              <w:spacing w:after="120"/>
              <w:jc w:val="both"/>
              <w:rPr>
                <w:rFonts w:ascii="Arial" w:hAnsi="Arial"/>
                <w:sz w:val="20"/>
              </w:rPr>
            </w:pPr>
            <w:r>
              <w:rPr>
                <w:rFonts w:ascii="Arial" w:hAnsi="Arial"/>
                <w:sz w:val="20"/>
              </w:rPr>
              <w:t xml:space="preserve">Pour éviter tout risque de double financement avec les autres types d'opérations du programme de développement rural, le GAL ne pourra pas mobiliser son enveloppe LEADER pour des projets éligibles à d'autres types d'opérations du programme. </w:t>
            </w:r>
          </w:p>
          <w:p w:rsidR="00684CFE" w:rsidRDefault="00684CFE"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 Sont exclues les opérations éligibles au POI FEDER Massif Central, POI FEDER Loire ;</w:t>
            </w:r>
          </w:p>
          <w:p w:rsidR="00684CFE" w:rsidRDefault="00684CFE" w:rsidP="00401DB2">
            <w:pPr>
              <w:tabs>
                <w:tab w:val="left" w:pos="6756"/>
              </w:tabs>
              <w:spacing w:after="120" w:line="240" w:lineRule="auto"/>
              <w:jc w:val="both"/>
            </w:pPr>
            <w:r>
              <w:rPr>
                <w:rFonts w:ascii="Arial" w:hAnsi="Arial" w:cs="Arial"/>
                <w:sz w:val="20"/>
                <w:szCs w:val="20"/>
              </w:rPr>
              <w:t>- Sont exclues les opérations éligibles au PO FEDER-FSE.</w:t>
            </w:r>
          </w:p>
        </w:tc>
      </w:tr>
      <w:tr w:rsidR="00684CFE" w:rsidTr="00401DB2">
        <w:tblPrEx>
          <w:tblCellMar>
            <w:top w:w="57" w:type="dxa"/>
            <w:bottom w:w="57" w:type="dxa"/>
          </w:tblCellMar>
        </w:tblPrEx>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Pr="00D7640F" w:rsidRDefault="00684CFE" w:rsidP="00401DB2">
            <w:pPr>
              <w:tabs>
                <w:tab w:val="left" w:pos="6756"/>
              </w:tabs>
              <w:spacing w:before="120" w:after="120" w:line="240" w:lineRule="auto"/>
              <w:rPr>
                <w:rFonts w:ascii="Arial" w:hAnsi="Arial" w:cs="Arial"/>
                <w:b/>
                <w:sz w:val="20"/>
                <w:szCs w:val="20"/>
              </w:rPr>
            </w:pPr>
            <w:r>
              <w:rPr>
                <w:rFonts w:ascii="Arial" w:hAnsi="Arial" w:cs="Arial"/>
                <w:b/>
                <w:sz w:val="20"/>
                <w:szCs w:val="20"/>
              </w:rPr>
              <w:t>b) Suivi</w:t>
            </w:r>
          </w:p>
        </w:tc>
      </w:tr>
      <w:tr w:rsidR="00684CFE" w:rsidTr="00401DB2">
        <w:tblPrEx>
          <w:tblCellMar>
            <w:top w:w="57" w:type="dxa"/>
            <w:bottom w:w="57" w:type="dxa"/>
          </w:tblCellMar>
        </w:tblPrEx>
        <w:trPr>
          <w:trHeight w:val="2128"/>
        </w:trPr>
        <w:tc>
          <w:tcPr>
            <w:tcW w:w="9376" w:type="dxa"/>
            <w:gridSpan w:val="3"/>
            <w:tcBorders>
              <w:top w:val="single" w:sz="4" w:space="0" w:color="000000"/>
              <w:left w:val="single" w:sz="4" w:space="0" w:color="000000"/>
              <w:bottom w:val="single" w:sz="4" w:space="0" w:color="000000"/>
              <w:right w:val="single" w:sz="4" w:space="0" w:color="000000"/>
            </w:tcBorders>
            <w:shd w:val="clear" w:color="auto" w:fill="auto"/>
          </w:tcPr>
          <w:p w:rsidR="00684CFE" w:rsidRDefault="00684CFE" w:rsidP="00401DB2">
            <w:pPr>
              <w:spacing w:after="0"/>
              <w:rPr>
                <w:rFonts w:ascii="Arial" w:hAnsi="Arial" w:cs="Arial"/>
                <w:sz w:val="20"/>
                <w:szCs w:val="20"/>
              </w:rPr>
            </w:pPr>
            <w:r w:rsidRPr="00D7640F" w:rsidDel="00F77680">
              <w:rPr>
                <w:rFonts w:ascii="Arial" w:hAnsi="Arial" w:cs="Arial"/>
                <w:b/>
                <w:sz w:val="20"/>
                <w:szCs w:val="20"/>
              </w:rPr>
              <w:t xml:space="preserve"> </w:t>
            </w:r>
            <w:r w:rsidRPr="00E11DF2">
              <w:rPr>
                <w:rFonts w:ascii="Arial" w:hAnsi="Arial" w:cs="Arial"/>
                <w:b/>
                <w:sz w:val="20"/>
                <w:szCs w:val="20"/>
              </w:rPr>
              <w:t>Indicateurs</w:t>
            </w:r>
            <w:r>
              <w:rPr>
                <w:rFonts w:ascii="Arial" w:hAnsi="Arial" w:cs="Arial"/>
                <w:sz w:val="20"/>
                <w:szCs w:val="20"/>
              </w:rPr>
              <w:t> </w:t>
            </w:r>
          </w:p>
          <w:p w:rsidR="00684CFE" w:rsidRDefault="00684CFE" w:rsidP="00401DB2">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5040"/>
              <w:gridCol w:w="1585"/>
            </w:tblGrid>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Pr="00D7640F" w:rsidRDefault="00684CFE" w:rsidP="00401DB2">
                  <w:pPr>
                    <w:tabs>
                      <w:tab w:val="left" w:pos="6756"/>
                    </w:tabs>
                    <w:jc w:val="center"/>
                    <w:rPr>
                      <w:rFonts w:ascii="Arial" w:hAnsi="Arial"/>
                      <w:b/>
                      <w:smallCaps/>
                      <w:sz w:val="20"/>
                    </w:rPr>
                  </w:pPr>
                  <w:r w:rsidRPr="00D7640F">
                    <w:rPr>
                      <w:rFonts w:ascii="Arial" w:hAnsi="Arial"/>
                      <w:b/>
                      <w:smallCaps/>
                      <w:sz w:val="20"/>
                    </w:rPr>
                    <w:t>Type d’indicateurs</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Pr="00D7640F" w:rsidRDefault="00684CFE" w:rsidP="00401DB2">
                  <w:pPr>
                    <w:tabs>
                      <w:tab w:val="left" w:pos="6756"/>
                    </w:tabs>
                    <w:jc w:val="center"/>
                    <w:rPr>
                      <w:rFonts w:ascii="Arial" w:hAnsi="Arial"/>
                      <w:b/>
                      <w:smallCaps/>
                      <w:sz w:val="20"/>
                    </w:rPr>
                  </w:pPr>
                  <w:r w:rsidRPr="00D7640F">
                    <w:rPr>
                      <w:rFonts w:ascii="Arial" w:hAnsi="Arial"/>
                      <w:b/>
                      <w:smallCaps/>
                      <w:sz w:val="20"/>
                    </w:rPr>
                    <w:t>Indicateurs</w:t>
                  </w:r>
                </w:p>
              </w:tc>
              <w:tc>
                <w:tcPr>
                  <w:tcW w:w="1585" w:type="dxa"/>
                  <w:tcBorders>
                    <w:top w:val="single" w:sz="4" w:space="0" w:color="auto"/>
                    <w:left w:val="single" w:sz="4" w:space="0" w:color="auto"/>
                    <w:bottom w:val="single" w:sz="4" w:space="0" w:color="auto"/>
                    <w:right w:val="single" w:sz="4" w:space="0" w:color="auto"/>
                  </w:tcBorders>
                  <w:vAlign w:val="center"/>
                  <w:hideMark/>
                </w:tcPr>
                <w:p w:rsidR="00684CFE" w:rsidRPr="00D7640F" w:rsidRDefault="00684CFE" w:rsidP="00401DB2">
                  <w:pPr>
                    <w:tabs>
                      <w:tab w:val="left" w:pos="6756"/>
                    </w:tabs>
                    <w:jc w:val="center"/>
                    <w:rPr>
                      <w:rFonts w:ascii="Arial" w:hAnsi="Arial"/>
                      <w:b/>
                      <w:smallCaps/>
                      <w:sz w:val="20"/>
                    </w:rPr>
                  </w:pPr>
                  <w:r w:rsidRPr="00D7640F">
                    <w:rPr>
                      <w:rFonts w:ascii="Arial" w:hAnsi="Arial"/>
                      <w:b/>
                      <w:smallCaps/>
                      <w:sz w:val="20"/>
                    </w:rPr>
                    <w:t>Cible</w:t>
                  </w: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Nombre de dossiers déposés par type de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trHeight w:val="91"/>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Pr="00125554" w:rsidRDefault="00684CFE" w:rsidP="00401DB2">
                  <w:pPr>
                    <w:tabs>
                      <w:tab w:val="left" w:pos="6756"/>
                    </w:tabs>
                    <w:rPr>
                      <w:rFonts w:ascii="Arial" w:hAnsi="Arial"/>
                      <w:sz w:val="20"/>
                    </w:rPr>
                  </w:pPr>
                  <w:r>
                    <w:rPr>
                      <w:rFonts w:ascii="Arial" w:hAnsi="Arial"/>
                      <w:sz w:val="20"/>
                    </w:rPr>
                    <w:t xml:space="preserve">Nombre de dossiers programmés par type de porteur de projet (association / structure porteuse du GAL / </w:t>
                  </w:r>
                  <w:r>
                    <w:rPr>
                      <w:rFonts w:ascii="Arial" w:hAnsi="Arial"/>
                      <w:sz w:val="20"/>
                    </w:rPr>
                    <w:lastRenderedPageBreak/>
                    <w:t>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lastRenderedPageBreak/>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Nombre de dossiers soldés par type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684CFE" w:rsidRPr="00125554" w:rsidRDefault="00684CFE"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r>
                    <w:rPr>
                      <w:rFonts w:ascii="Arial" w:hAnsi="Arial"/>
                      <w:sz w:val="20"/>
                    </w:rPr>
                    <w:t>Nombre de dossiers inscrits dans un contrat de cohésion territoriale</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trHeight w:val="77"/>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Nombre d’emplois créés (ETP, contrat de 1 an et plus)</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r w:rsidR="00684CFE"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684CFE" w:rsidRDefault="00684CFE" w:rsidP="00401DB2">
                  <w:pPr>
                    <w:tabs>
                      <w:tab w:val="left" w:pos="6756"/>
                    </w:tabs>
                    <w:rPr>
                      <w:rFonts w:ascii="Arial" w:hAnsi="Arial"/>
                      <w:sz w:val="20"/>
                    </w:rPr>
                  </w:pPr>
                  <w:r>
                    <w:rPr>
                      <w:rFonts w:ascii="Arial" w:hAnsi="Arial"/>
                      <w:sz w:val="20"/>
                    </w:rPr>
                    <w:t>Nombre d’emplois maintenus</w:t>
                  </w:r>
                </w:p>
              </w:tc>
              <w:tc>
                <w:tcPr>
                  <w:tcW w:w="1585" w:type="dxa"/>
                  <w:tcBorders>
                    <w:top w:val="single" w:sz="4" w:space="0" w:color="auto"/>
                    <w:left w:val="single" w:sz="4" w:space="0" w:color="auto"/>
                    <w:bottom w:val="single" w:sz="4" w:space="0" w:color="auto"/>
                    <w:right w:val="single" w:sz="4" w:space="0" w:color="auto"/>
                  </w:tcBorders>
                  <w:vAlign w:val="center"/>
                </w:tcPr>
                <w:p w:rsidR="00684CFE" w:rsidRDefault="00684CFE" w:rsidP="00401DB2">
                  <w:pPr>
                    <w:tabs>
                      <w:tab w:val="left" w:pos="6756"/>
                    </w:tabs>
                    <w:rPr>
                      <w:rFonts w:ascii="Arial" w:hAnsi="Arial"/>
                      <w:sz w:val="20"/>
                    </w:rPr>
                  </w:pPr>
                </w:p>
              </w:tc>
            </w:tr>
          </w:tbl>
          <w:p w:rsidR="00684CFE" w:rsidRDefault="00684CFE" w:rsidP="00401DB2">
            <w:pPr>
              <w:tabs>
                <w:tab w:val="left" w:pos="6756"/>
              </w:tabs>
              <w:spacing w:after="120" w:line="240" w:lineRule="auto"/>
            </w:pPr>
          </w:p>
        </w:tc>
      </w:tr>
    </w:tbl>
    <w:p w:rsidR="00684CFE" w:rsidRDefault="00684CFE" w:rsidP="00684CFE">
      <w:pPr>
        <w:spacing w:after="0"/>
      </w:pPr>
    </w:p>
    <w:p w:rsidR="00684CFE" w:rsidRDefault="00684CFE" w:rsidP="00684CFE">
      <w:pPr>
        <w:spacing w:after="0"/>
      </w:pPr>
    </w:p>
    <w:p w:rsidR="00684CFE" w:rsidRDefault="00684CFE" w:rsidP="00684CFE">
      <w:pPr>
        <w:spacing w:after="0"/>
      </w:pPr>
    </w:p>
    <w:p w:rsidR="00684CFE" w:rsidRDefault="00684CFE" w:rsidP="00684CFE">
      <w:pPr>
        <w:spacing w:after="0"/>
      </w:pPr>
    </w:p>
    <w:p w:rsidR="00684CFE" w:rsidRDefault="00684CFE" w:rsidP="00684CFE"/>
    <w:p w:rsidR="00130DAC" w:rsidRDefault="00684CFE" w:rsidP="00684CFE">
      <w:r>
        <w:br w:type="page"/>
      </w:r>
      <w:bookmarkStart w:id="1" w:name="_GoBack"/>
      <w:bookmarkEnd w:id="1"/>
    </w:p>
    <w:sectPr w:rsidR="0013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1">
    <w:nsid w:val="00000006"/>
    <w:multiLevelType w:val="singleLevel"/>
    <w:tmpl w:val="00000005"/>
    <w:lvl w:ilvl="0">
      <w:start w:val="1"/>
      <w:numFmt w:val="bullet"/>
      <w:lvlText w:val=""/>
      <w:lvlJc w:val="left"/>
      <w:pPr>
        <w:ind w:left="1080" w:hanging="360"/>
      </w:pPr>
      <w:rPr>
        <w:rFonts w:ascii="Symbol" w:hAnsi="Symbol" w:cs="Symbol" w:hint="default"/>
        <w:color w:val="auto"/>
        <w:sz w:val="20"/>
        <w:szCs w:val="20"/>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3">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4">
    <w:nsid w:val="1C9824E6"/>
    <w:multiLevelType w:val="hybridMultilevel"/>
    <w:tmpl w:val="49E2E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5C64B2"/>
    <w:multiLevelType w:val="hybridMultilevel"/>
    <w:tmpl w:val="AE5C87DC"/>
    <w:lvl w:ilvl="0" w:tplc="00000003">
      <w:start w:val="3"/>
      <w:numFmt w:val="bullet"/>
      <w:lvlText w:val="-"/>
      <w:lvlJc w:val="left"/>
      <w:pPr>
        <w:tabs>
          <w:tab w:val="num" w:pos="360"/>
        </w:tabs>
        <w:ind w:left="1080" w:hanging="360"/>
      </w:pPr>
      <w:rPr>
        <w:rFonts w:ascii="Arial"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2F05171B"/>
    <w:multiLevelType w:val="singleLevel"/>
    <w:tmpl w:val="040C0017"/>
    <w:lvl w:ilvl="0">
      <w:start w:val="1"/>
      <w:numFmt w:val="lowerLetter"/>
      <w:lvlText w:val="%1)"/>
      <w:lvlJc w:val="left"/>
      <w:pPr>
        <w:ind w:left="644" w:hanging="360"/>
      </w:pPr>
      <w:rPr>
        <w:rFonts w:hint="default"/>
      </w:rPr>
    </w:lvl>
  </w:abstractNum>
  <w:abstractNum w:abstractNumId="7">
    <w:nsid w:val="37771FA6"/>
    <w:multiLevelType w:val="hybridMultilevel"/>
    <w:tmpl w:val="C980AC4C"/>
    <w:lvl w:ilvl="0" w:tplc="00000005">
      <w:start w:val="1"/>
      <w:numFmt w:val="bullet"/>
      <w:lvlText w:val=""/>
      <w:lvlJc w:val="left"/>
      <w:pPr>
        <w:ind w:left="1166" w:hanging="360"/>
      </w:pPr>
      <w:rPr>
        <w:rFonts w:ascii="Symbol" w:hAnsi="Symbol" w:cs="Symbol" w:hint="default"/>
        <w:color w:val="auto"/>
        <w:sz w:val="20"/>
        <w:szCs w:val="20"/>
      </w:rPr>
    </w:lvl>
    <w:lvl w:ilvl="1" w:tplc="040C0003" w:tentative="1">
      <w:start w:val="1"/>
      <w:numFmt w:val="bullet"/>
      <w:lvlText w:val="o"/>
      <w:lvlJc w:val="left"/>
      <w:pPr>
        <w:ind w:left="1886" w:hanging="360"/>
      </w:pPr>
      <w:rPr>
        <w:rFonts w:ascii="Courier New" w:hAnsi="Courier New" w:cs="Courier New" w:hint="default"/>
      </w:rPr>
    </w:lvl>
    <w:lvl w:ilvl="2" w:tplc="040C0005" w:tentative="1">
      <w:start w:val="1"/>
      <w:numFmt w:val="bullet"/>
      <w:lvlText w:val=""/>
      <w:lvlJc w:val="left"/>
      <w:pPr>
        <w:ind w:left="2606" w:hanging="360"/>
      </w:pPr>
      <w:rPr>
        <w:rFonts w:ascii="Wingdings" w:hAnsi="Wingdings" w:hint="default"/>
      </w:rPr>
    </w:lvl>
    <w:lvl w:ilvl="3" w:tplc="00000005">
      <w:start w:val="1"/>
      <w:numFmt w:val="bullet"/>
      <w:lvlText w:val=""/>
      <w:lvlJc w:val="left"/>
      <w:pPr>
        <w:ind w:left="3326" w:hanging="360"/>
      </w:pPr>
      <w:rPr>
        <w:rFonts w:ascii="Symbol" w:hAnsi="Symbol" w:cs="Symbol" w:hint="default"/>
      </w:rPr>
    </w:lvl>
    <w:lvl w:ilvl="4" w:tplc="040C0003" w:tentative="1">
      <w:start w:val="1"/>
      <w:numFmt w:val="bullet"/>
      <w:lvlText w:val="o"/>
      <w:lvlJc w:val="left"/>
      <w:pPr>
        <w:ind w:left="4046" w:hanging="360"/>
      </w:pPr>
      <w:rPr>
        <w:rFonts w:ascii="Courier New" w:hAnsi="Courier New" w:cs="Courier New" w:hint="default"/>
      </w:rPr>
    </w:lvl>
    <w:lvl w:ilvl="5" w:tplc="040C0005" w:tentative="1">
      <w:start w:val="1"/>
      <w:numFmt w:val="bullet"/>
      <w:lvlText w:val=""/>
      <w:lvlJc w:val="left"/>
      <w:pPr>
        <w:ind w:left="4766" w:hanging="360"/>
      </w:pPr>
      <w:rPr>
        <w:rFonts w:ascii="Wingdings" w:hAnsi="Wingdings" w:hint="default"/>
      </w:rPr>
    </w:lvl>
    <w:lvl w:ilvl="6" w:tplc="040C0001" w:tentative="1">
      <w:start w:val="1"/>
      <w:numFmt w:val="bullet"/>
      <w:lvlText w:val=""/>
      <w:lvlJc w:val="left"/>
      <w:pPr>
        <w:ind w:left="5486" w:hanging="360"/>
      </w:pPr>
      <w:rPr>
        <w:rFonts w:ascii="Symbol" w:hAnsi="Symbol" w:hint="default"/>
      </w:rPr>
    </w:lvl>
    <w:lvl w:ilvl="7" w:tplc="040C0003" w:tentative="1">
      <w:start w:val="1"/>
      <w:numFmt w:val="bullet"/>
      <w:lvlText w:val="o"/>
      <w:lvlJc w:val="left"/>
      <w:pPr>
        <w:ind w:left="6206" w:hanging="360"/>
      </w:pPr>
      <w:rPr>
        <w:rFonts w:ascii="Courier New" w:hAnsi="Courier New" w:cs="Courier New" w:hint="default"/>
      </w:rPr>
    </w:lvl>
    <w:lvl w:ilvl="8" w:tplc="040C0005" w:tentative="1">
      <w:start w:val="1"/>
      <w:numFmt w:val="bullet"/>
      <w:lvlText w:val=""/>
      <w:lvlJc w:val="left"/>
      <w:pPr>
        <w:ind w:left="6926" w:hanging="360"/>
      </w:pPr>
      <w:rPr>
        <w:rFonts w:ascii="Wingdings" w:hAnsi="Wingdings" w:hint="default"/>
      </w:rPr>
    </w:lvl>
  </w:abstractNum>
  <w:abstractNum w:abstractNumId="8">
    <w:nsid w:val="445F3B08"/>
    <w:multiLevelType w:val="multilevel"/>
    <w:tmpl w:val="B62AE92E"/>
    <w:lvl w:ilvl="0">
      <w:start w:val="1"/>
      <w:numFmt w:val="bullet"/>
      <w:lvlText w:val=""/>
      <w:lvlJc w:val="left"/>
      <w:pPr>
        <w:tabs>
          <w:tab w:val="num" w:pos="629"/>
        </w:tabs>
        <w:ind w:left="629" w:hanging="360"/>
      </w:pPr>
      <w:rPr>
        <w:rFonts w:ascii="Wingdings" w:hAnsi="Wingdings"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FD0655"/>
    <w:multiLevelType w:val="multilevel"/>
    <w:tmpl w:val="9188B29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Arial" w:hAnsi="Arial" w:cs="Arial" w:hint="default"/>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D76429"/>
    <w:multiLevelType w:val="multilevel"/>
    <w:tmpl w:val="9606FD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CF233AC"/>
    <w:multiLevelType w:val="multilevel"/>
    <w:tmpl w:val="16561F5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8"/>
  </w:num>
  <w:num w:numId="8">
    <w:abstractNumId w:val="11"/>
  </w:num>
  <w:num w:numId="9">
    <w:abstractNumId w:val="6"/>
  </w:num>
  <w:num w:numId="10">
    <w:abstractNumId w:val="5"/>
    <w:lvlOverride w:ilvl="0"/>
    <w:lvlOverride w:ilvl="1"/>
    <w:lvlOverride w:ilvl="2"/>
    <w:lvlOverride w:ilvl="3"/>
    <w:lvlOverride w:ilvl="4"/>
    <w:lvlOverride w:ilvl="5"/>
    <w:lvlOverride w:ilvl="6"/>
    <w:lvlOverride w:ilvl="7"/>
    <w:lvlOverride w:ilv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E"/>
    <w:rsid w:val="00130DAC"/>
    <w:rsid w:val="00684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FE"/>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quedecommentaire2">
    <w:name w:val="Marque de commentaire2"/>
    <w:rsid w:val="00684CFE"/>
    <w:rPr>
      <w:sz w:val="16"/>
      <w:szCs w:val="16"/>
    </w:rPr>
  </w:style>
  <w:style w:type="paragraph" w:customStyle="1" w:styleId="Normalpucetableau">
    <w:name w:val="Normal puce tableau"/>
    <w:basedOn w:val="Normal"/>
    <w:uiPriority w:val="99"/>
    <w:rsid w:val="00684CFE"/>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684CFE"/>
    <w:pPr>
      <w:overflowPunct w:val="0"/>
      <w:autoSpaceDE w:val="0"/>
      <w:spacing w:after="0" w:line="240" w:lineRule="auto"/>
      <w:textAlignment w:val="baseline"/>
    </w:pPr>
    <w:rPr>
      <w:rFonts w:ascii="Verdana" w:hAnsi="Verdana" w:cs="Arial"/>
      <w:sz w:val="18"/>
      <w:szCs w:val="20"/>
    </w:rPr>
  </w:style>
  <w:style w:type="character" w:customStyle="1" w:styleId="Heading2Char">
    <w:name w:val="Heading 2 Char"/>
    <w:rsid w:val="00684CFE"/>
    <w:rPr>
      <w:rFonts w:ascii="Cambria" w:eastAsia="Calibri" w:hAnsi="Cambria" w:cs="Cambria"/>
      <w:b/>
      <w:bCs/>
      <w:color w:val="4F81BD"/>
      <w:sz w:val="26"/>
      <w:szCs w:val="26"/>
      <w:lang w:val="fr-FR" w:eastAsia="ar-SA" w:bidi="ar-SA"/>
    </w:rPr>
  </w:style>
  <w:style w:type="character" w:customStyle="1" w:styleId="Heading1Char">
    <w:name w:val="Heading 1 Char"/>
    <w:rsid w:val="00684CFE"/>
    <w:rPr>
      <w:rFonts w:ascii="Cambria" w:eastAsia="Calibri" w:hAnsi="Cambria" w:cs="Cambria"/>
      <w:b/>
      <w:bCs/>
      <w:color w:val="365F91"/>
      <w:sz w:val="28"/>
      <w:szCs w:val="28"/>
      <w:lang w:val="fr-FR" w:eastAsia="ar-SA" w:bidi="ar-SA"/>
    </w:rPr>
  </w:style>
  <w:style w:type="paragraph" w:customStyle="1" w:styleId="Standard1LTGliederung1">
    <w:name w:val="Standard 1~LT~Gliederung 1"/>
    <w:rsid w:val="00684CFE"/>
    <w:pPr>
      <w:widowControl w:val="0"/>
      <w:suppressAutoHyphens/>
      <w:autoSpaceDE w:val="0"/>
      <w:spacing w:after="283" w:line="240" w:lineRule="auto"/>
    </w:pPr>
    <w:rPr>
      <w:rFonts w:ascii="Mangal" w:eastAsia="Mangal" w:hAnsi="Mangal" w:cs="Mangal"/>
      <w:color w:val="000000"/>
      <w:kern w:val="1"/>
      <w:sz w:val="64"/>
      <w:szCs w:val="6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FE"/>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quedecommentaire2">
    <w:name w:val="Marque de commentaire2"/>
    <w:rsid w:val="00684CFE"/>
    <w:rPr>
      <w:sz w:val="16"/>
      <w:szCs w:val="16"/>
    </w:rPr>
  </w:style>
  <w:style w:type="paragraph" w:customStyle="1" w:styleId="Normalpucetableau">
    <w:name w:val="Normal puce tableau"/>
    <w:basedOn w:val="Normal"/>
    <w:uiPriority w:val="99"/>
    <w:rsid w:val="00684CFE"/>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684CFE"/>
    <w:pPr>
      <w:overflowPunct w:val="0"/>
      <w:autoSpaceDE w:val="0"/>
      <w:spacing w:after="0" w:line="240" w:lineRule="auto"/>
      <w:textAlignment w:val="baseline"/>
    </w:pPr>
    <w:rPr>
      <w:rFonts w:ascii="Verdana" w:hAnsi="Verdana" w:cs="Arial"/>
      <w:sz w:val="18"/>
      <w:szCs w:val="20"/>
    </w:rPr>
  </w:style>
  <w:style w:type="character" w:customStyle="1" w:styleId="Heading2Char">
    <w:name w:val="Heading 2 Char"/>
    <w:rsid w:val="00684CFE"/>
    <w:rPr>
      <w:rFonts w:ascii="Cambria" w:eastAsia="Calibri" w:hAnsi="Cambria" w:cs="Cambria"/>
      <w:b/>
      <w:bCs/>
      <w:color w:val="4F81BD"/>
      <w:sz w:val="26"/>
      <w:szCs w:val="26"/>
      <w:lang w:val="fr-FR" w:eastAsia="ar-SA" w:bidi="ar-SA"/>
    </w:rPr>
  </w:style>
  <w:style w:type="character" w:customStyle="1" w:styleId="Heading1Char">
    <w:name w:val="Heading 1 Char"/>
    <w:rsid w:val="00684CFE"/>
    <w:rPr>
      <w:rFonts w:ascii="Cambria" w:eastAsia="Calibri" w:hAnsi="Cambria" w:cs="Cambria"/>
      <w:b/>
      <w:bCs/>
      <w:color w:val="365F91"/>
      <w:sz w:val="28"/>
      <w:szCs w:val="28"/>
      <w:lang w:val="fr-FR" w:eastAsia="ar-SA" w:bidi="ar-SA"/>
    </w:rPr>
  </w:style>
  <w:style w:type="paragraph" w:customStyle="1" w:styleId="Standard1LTGliederung1">
    <w:name w:val="Standard 1~LT~Gliederung 1"/>
    <w:rsid w:val="00684CFE"/>
    <w:pPr>
      <w:widowControl w:val="0"/>
      <w:suppressAutoHyphens/>
      <w:autoSpaceDE w:val="0"/>
      <w:spacing w:after="283" w:line="240" w:lineRule="auto"/>
    </w:pPr>
    <w:rPr>
      <w:rFonts w:ascii="Mangal" w:eastAsia="Mangal" w:hAnsi="Mangal" w:cs="Mangal"/>
      <w:color w:val="000000"/>
      <w:kern w:val="1"/>
      <w:sz w:val="64"/>
      <w:szCs w:val="6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10367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2016-10-11T09:37:00Z</dcterms:created>
  <dcterms:modified xsi:type="dcterms:W3CDTF">2016-10-11T09:37:00Z</dcterms:modified>
</cp:coreProperties>
</file>